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86R28298 LED-D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1151</w:t>
      </w:r>
    </w:p>
    <w:p w:rsidR="003F3435" w:rsidRDefault="0032493E">
      <w:pPr>
        <w:ind w:firstLine="720"/>
        <w:jc w:val="both"/>
      </w:pPr>
      <w:r>
        <w:t xml:space="preserve">(Longoria)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1151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comptroller's access to criminal history record information  of wrongfully imprisoned persons.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411.109(a),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comptroller is entitled to obtain from the department criminal history record information maintained by the department that the comptroller believes is necessary for the enforcement or administration of </w:t>
      </w:r>
      <w:r>
        <w:rPr>
          <w:u w:val="single"/>
        </w:rPr>
        <w:t xml:space="preserve">Chapter 103, Civil Practice and Remedies Code, or</w:t>
      </w:r>
      <w:r>
        <w:t xml:space="preserve"> Chapter 151, 152, 154, 155, or 162, Tax Code, including criminal history record information that relates to a person who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applicant for a permit under any of those chapters;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permit holder under any of those chapters;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officer, director, stockholder owning 10 percent or more of the outstanding stock, partner, owner, or managing employee of an applicant or permit holder under any of those chapters that is a corporation, association, joint venture, syndicate, partnership, or proprietorship;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believed to have violated any of those chapters;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being considered by the comptroller for employment as a peace officer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receiving, scheduled to receive, or applying to receive compensation under Chapter 103, Civil Practice and Remedies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1151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