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1153</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w:t>
      </w:r>
      <w:r xml:space="preserve">
        <w:t> </w:t>
      </w:r>
      <w:r xml:space="preserve">
        <w:t> </w:t>
      </w:r>
      <w:r>
        <w:t xml:space="preserve">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w:t>
      </w:r>
      <w:r xml:space="preserve">
        <w:t> </w:t>
      </w:r>
      <w:r xml:space="preserve">
        <w:t> </w:t>
      </w:r>
      <w:r>
        <w:t xml:space="preserve">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w:t>
      </w:r>
      <w:r>
        <w:rPr>
          <w:u w:val="single"/>
        </w:rPr>
        <w:t xml:space="preserve"> </w:t>
      </w:r>
      <w:r>
        <w:rPr>
          <w:u w:val="single"/>
        </w:rPr>
        <w:t xml:space="preserve">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w:t>
      </w:r>
      <w:r xml:space="preserve">
        <w:t> </w:t>
      </w:r>
      <w:r xml:space="preserve">
        <w:t> </w:t>
      </w:r>
      <w:r>
        <w:t xml:space="preserve">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