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86R9578 TSS-F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public school student's transition from an alternative education program to a regular classroom.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37, Education Code, is amended by adding Section 37.023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37.023.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TRANSITION FROM ALTERNATIVE EDUCATION PROGRAM TO REGULAR CLASSROOM.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"Alternative education program" includes: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disciplinary alternative education program operated by a school district or open-enrollment charter school;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juvenile justice alternative education program;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residential program or facility operated by or under contract with the Texas Juvenile Justice Department, a juvenile board, or any other governmental entity.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"Licensed clinical social worker" has the meaning assigned by Section 505.002,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soon as practicable after an alternative education program determines the date of a student's release from the program, the alternative education program administrator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written notice of that date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student's parent or a person standing in parental relation to the student;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administrator of the campus to which the student intends to transition;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the campus administrator: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assessment of the student's academic growth while attending the alternative education program;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results of any assessment instruments administered to the student.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five instructional days after the date of a student's release from an alternative education program, the campus administrator shall coordinate the student's transition to a regular classroom.  The coordination must include assistance and recommendations from: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counselors;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district peace officers;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resource officers;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licensed clinical social workers;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campus behavior coordinators;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classroom teachers;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appropriate school district personnel.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assistance required by Subsection (c) must include a personalized transition plan for the student developed by the campus administrator.  A personalized transition plan: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include recommendations for the best educational placement of the student;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include: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recommendations for counseling, behavioral management, or academic assistance for the student with a concentration on the student's academic or career goals;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recommendations for assistance for obtaining access to mental health services provided by the district or school, a local mental health authority, or another private or public entity;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of information to the student's parent or a person standing in parental relation to the student about the process to request a full individual and initial evaluation of the student for purposes of special education services under Section 29.004;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regular review of the student's progress toward the student's academic or career goals.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practicable, the campus administrator, or the administrator's designee, shall meet with the student's parent or a person standing in parental relation to the student to coordinate plans for the student's transition.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student subject to compulsory attendance requirements under Section 25.085.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