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86R4382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1161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determination of the total taxable value of property in a school district under the property value study conducted by the comptroller of public accounts.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403.302(d) and (m),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w:t>
      </w:r>
      <w:r>
        <w:rPr>
          <w:u w:val="single"/>
        </w:rPr>
        <w:t xml:space="preserve">school</w:t>
      </w:r>
      <w:r>
        <w:t xml:space="preserve"> </w:t>
      </w:r>
      <w:r>
        <w:t xml:space="preserve">district at market value because of[</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the amount equal to one-half of the portion of the market value of property not otherwise fully taxable by the school district at market value because of</w:t>
      </w:r>
      <w:r>
        <w:t xml:space="preserve"> [</w:t>
      </w:r>
      <w:r>
        <w:rPr>
          <w:strike/>
        </w:rPr>
        <w:t xml:space="preserve">or</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action taken by the district under Subchapter B or C, Chapter 313, Tax Code, before the expiration of </w:t>
      </w:r>
      <w:r>
        <w:rPr>
          <w:u w:val="single"/>
        </w:rPr>
        <w:t xml:space="preserve">that</w:t>
      </w:r>
      <w:r>
        <w:t xml:space="preserve"> [</w:t>
      </w:r>
      <w:r>
        <w:rPr>
          <w:strike/>
        </w:rPr>
        <w:t xml:space="preserve">the</w:t>
      </w:r>
      <w:r>
        <w:t xml:space="preserv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p>
    <w:p w:rsidR="003F3435" w:rsidRDefault="0032493E">
      <w:pPr>
        <w:spacing w:line="480" w:lineRule="auto"/>
        <w:ind w:firstLine="720"/>
        <w:jc w:val="both"/>
      </w:pPr>
      <w:r>
        <w:t xml:space="preserve">(m)</w:t>
      </w:r>
      <w:r xml:space="preserve">
        <w:t> </w:t>
      </w:r>
      <w:r xml:space="preserve">
        <w:t> </w:t>
      </w:r>
      <w:r>
        <w:t xml:space="preserve">Subsection </w:t>
      </w:r>
      <w:r>
        <w:rPr>
          <w:u w:val="single"/>
        </w:rPr>
        <w:t xml:space="preserve">(d)(9-a)</w:t>
      </w:r>
      <w:r>
        <w:t xml:space="preserve"> [</w:t>
      </w:r>
      <w:r>
        <w:rPr>
          <w:strike/>
        </w:rPr>
        <w:t xml:space="preserve">(d)(9)</w:t>
      </w:r>
      <w:r>
        <w:t xml:space="preserve">] does not apply to property that was the subject of an application under Subchapter B or C, Chapter 313, Tax Code, made after May 1, 2009, that the comptroller recommended should be disapproved.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study conducted under Section 403.302, Government Code, for a tax year that begins on or after January 1, 2020. </w:t>
      </w:r>
      <w:r>
        <w:t xml:space="preserve"> </w:t>
      </w:r>
      <w:r>
        <w:t xml:space="preserve">The study for a tax year that begins before that date is covered by the law in effect immediately before the effective date of this Act, and the prior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