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1164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disposition of an item bearing a counterfeit trademark seized in connection with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18, Code of Criminal Procedure, is amended by adding Article 18.182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18.182.</w:t>
      </w:r>
      <w:r>
        <w:rPr>
          <w:u w:val="single"/>
        </w:rPr>
        <w:t xml:space="preserve"> </w:t>
      </w:r>
      <w:r>
        <w:rPr>
          <w:u w:val="single"/>
        </w:rPr>
        <w:t xml:space="preserve"> </w:t>
      </w:r>
      <w:r>
        <w:rPr>
          <w:u w:val="single"/>
        </w:rPr>
        <w:t xml:space="preserve">DISPOSITION OF ITEM BEARING COUNTERFEIT MARK. </w:t>
      </w:r>
      <w:r>
        <w:rPr>
          <w:u w:val="single"/>
        </w:rPr>
        <w:t xml:space="preserve"> </w:t>
      </w:r>
      <w:r>
        <w:rPr>
          <w:u w:val="single"/>
        </w:rPr>
        <w:t xml:space="preserve">(a)</w:t>
      </w:r>
      <w:r>
        <w:rPr>
          <w:u w:val="single"/>
        </w:rPr>
        <w:t xml:space="preserve"> </w:t>
      </w:r>
      <w:r>
        <w:rPr>
          <w:u w:val="single"/>
        </w:rPr>
        <w:t xml:space="preserve"> </w:t>
      </w:r>
      <w:r>
        <w:rPr>
          <w:u w:val="single"/>
        </w:rPr>
        <w:t xml:space="preserve">In this article, "counterfeit mark" and "protected mark" have the meanings assigned by Section 32.23, Penal Code.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Following the conviction or placement on deferred adjudication community supervision of a person for an offense under Section 32.23, Penal Code, the court entering the judgment of conviction or order of deferred adjudication community supervision shall order that any item bearing or identified by a counterfeit mark seized in connection with the offense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forfeited to the owner of the protected mark, if prior to an order disposing of property under this article the owner of the protected mark requests the return of the item;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destroyed.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1164 passed the Senate on April</w:t>
      </w:r>
      <w:r xml:space="preserve">
        <w:t> </w:t>
      </w:r>
      <w:r>
        <w:t xml:space="preserve">25,</w:t>
      </w:r>
      <w:r xml:space="preserve">
        <w:t> </w:t>
      </w:r>
      <w:r>
        <w:t xml:space="preserve">2019, by the following vote:  Yeas</w:t>
      </w:r>
      <w:r xml:space="preserve">
        <w:t> </w:t>
      </w:r>
      <w:r>
        <w:t xml:space="preserve">30, Nays</w:t>
      </w:r>
      <w:r xml:space="preserve">
        <w:t> </w:t>
      </w:r>
      <w:r>
        <w:t xml:space="preserve">0; and that the Senate concurred in House amendment on May 23, 2019,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1164 passed the House, with amendment, on May</w:t>
      </w:r>
      <w:r xml:space="preserve">
        <w:t> </w:t>
      </w:r>
      <w:r>
        <w:t xml:space="preserve">17,</w:t>
      </w:r>
      <w:r xml:space="preserve">
        <w:t> </w:t>
      </w:r>
      <w:r>
        <w:t xml:space="preserve">2019, by the following vote:  Yeas</w:t>
      </w:r>
      <w:r xml:space="preserve">
        <w:t> </w:t>
      </w:r>
      <w:r>
        <w:t xml:space="preserve">147,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