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86R9281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1165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inquiry by a peace officer as to the nationality or immigration status of a person presumed to be a family violence victim or witness.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752, Government Code, is amended by adding Section 752.0531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752.0531.</w:t>
      </w:r>
      <w:r>
        <w:rPr>
          <w:u w:val="single"/>
        </w:rPr>
        <w:t xml:space="preserve"> </w:t>
      </w:r>
      <w:r>
        <w:rPr>
          <w:u w:val="single"/>
        </w:rPr>
        <w:t xml:space="preserve"> </w:t>
      </w:r>
      <w:r>
        <w:rPr>
          <w:u w:val="single"/>
        </w:rPr>
        <w:t xml:space="preserve">POLICY ON IMMIGRATION INQUIRIES DIRECTED TO PERSON PRESUMED TO BE FAMILY VIOLENCE VICTIM OR WITNESS.  (a)  In this section, "family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a local entity or campus police department may adopt, enforce, and endorse a policy to provide guidance to peace officers regarding the application of Article 2.13(d), Code of Criminal Procedure, as added by Chapter 4 (S.B. 4), Acts of the 85th Legislature, Regular Session, 2017, to a person presumed to be a victim of or witness to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policy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specific criteria to enable a peace officer to determine whether a person is likely to have been a victim of or witness to family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designed for the purpose of limiting inquiries regarding the nationality or immigration status of those persons.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