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86R12629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abuse of a child, termination of the parent-child relationship, and possession of a child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low-THC cannabis to a child for whom the low-THC cannabis was prescribed under Chapter 169,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marihuana as defined by Section 481.002, Health and Safety Code, or a product that contains marihuana to a child, if the parent believes that the provision or administration of the marihuana is in the best interest of the child;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r>
        <w:rPr>
          <w:u w:val="single"/>
        </w:rPr>
        <w:t xml:space="preserve">, unless the controlled substance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low-THC cannabis that was prescribed for the child under Chapter 169,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marihuana as defined by Section 481.002, Health and Safety Code, or a product that contains marihuana and the parent believes that the provision of the marihuana is in the best interest of the child</w:t>
      </w:r>
      <w:r>
        <w:t xml:space="preserv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low-THC cannabis to a child for whom the low-THC cannabis was prescribed under Chapter 169,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marihuana as defined by Section 481.002, Health and Safety Code, or a product that contains marihuana to a child, if the parent believes that the provision or administration of the marihuana is in the best interest of the child;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