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offering certain evidence-based services in lieu of other mental health or substance use disorder services by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addition to the requirements specified by Subsection (a), a contract described by that subsection must contain language permitting a managed care organization to offer medically appropriate, cost-effective, evidence-based services from a list approved by the state Medicaid managed care advisory committee and included in the contract in lieu of mental health or substance use disorder services specified in the state Medicaid plan.  A recipient is not required to use a service from the list included in the contract in lieu of another mental health </w:t>
      </w:r>
      <w:r>
        <w:rPr>
          <w:u w:val="single"/>
        </w:rPr>
        <w:t xml:space="preserve"> </w:t>
      </w:r>
      <w:r>
        <w:rPr>
          <w:u w:val="single"/>
        </w:rPr>
        <w:t xml:space="preserve">or substance use disorder service specified in the state Medicaid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and submit an annual report to the legislature on the number of times during the preceding year a service from the list included in the contract is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into consideration the actual cost and use of any services from the list included in the contract that are offered by a managed care organization when setting the capitation rates for that organization under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