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86R10935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reporting the number of incidents of bullying and cyberbullying in a school district and open-enrollment charter school through the Public Education Information Management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42.006, Education Code, is amended by adding Subsection (a-10)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by rule shall require each school district and open-enrollment charter school to annually report through the Public Education Information Management System the number of reported incidents of bullying that have occurred at each campus. </w:t>
      </w:r>
      <w:r>
        <w:rPr>
          <w:u w:val="single"/>
        </w:rPr>
        <w:t xml:space="preserve"> </w:t>
      </w:r>
      <w:r>
        <w:rPr>
          <w:u w:val="single"/>
        </w:rPr>
        <w:t xml:space="preserve">The commissioner's rules shall require a district or school to specify the number of incidents of bullying that included cyberbullying. </w:t>
      </w:r>
      <w:r>
        <w:rPr>
          <w:u w:val="single"/>
        </w:rPr>
        <w:t xml:space="preserve"> </w:t>
      </w:r>
      <w:r>
        <w:rPr>
          <w:u w:val="single"/>
        </w:rPr>
        <w:t xml:space="preserve">The agency shall maintain the information provided in accordance with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