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reporting regarding veterans treatment court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124, Government Code, is amended by adding Section 124.007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124.007.</w:t>
      </w:r>
      <w:r>
        <w:rPr>
          <w:u w:val="single"/>
        </w:rPr>
        <w:t xml:space="preserve"> </w:t>
      </w:r>
      <w:r>
        <w:rPr>
          <w:u w:val="single"/>
        </w:rPr>
        <w:t xml:space="preserve"> </w:t>
      </w:r>
      <w:r>
        <w:rPr>
          <w:u w:val="single"/>
        </w:rPr>
        <w:t xml:space="preserve">REPORT.  Not later than December 1 of each year, the Texas Veterans Commission shall report the following information for the preceding state fiscal year to the governor, the lieutenant governor, the speaker of the house of representatives,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each veterans treatment court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each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did not successfully complete each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grant funding received by each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1180 passed the Senate on May</w:t>
      </w:r>
      <w:r xml:space="preserve">
        <w:t> </w:t>
      </w:r>
      <w:r>
        <w:t xml:space="preserve">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1180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