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86R14426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wage increase for certain public school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22.107(a),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shall pay each full-time district employee, other than an administrator or an employee subject to the minimum salary schedule under Section 21.402, an amount at least equal to </w:t>
      </w:r>
      <w:r>
        <w:rPr>
          <w:u w:val="single"/>
        </w:rPr>
        <w:t xml:space="preserve">$5,500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42.2513, Education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district, including a school district that is otherwise ineligible for state aid under this chapter, is entitled to state aid in an amount equal to the sum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product of </w:t>
      </w:r>
      <w:r>
        <w:rPr>
          <w:u w:val="single"/>
        </w:rPr>
        <w:t xml:space="preserve">$5,500</w:t>
      </w:r>
      <w:r>
        <w:t xml:space="preserve"> [</w:t>
      </w:r>
      <w:r>
        <w:rPr>
          <w:strike/>
        </w:rPr>
        <w:t xml:space="preserve">$500</w:t>
      </w:r>
      <w:r>
        <w:t xml:space="preserve">] multiplied by the number of full-time district employees, other than administrators or employees subject to the minimum salary schedule under Section 21.402;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product of $250 multiplied by the number of part-time district employees, other than administrators.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is required to take action under Chapter 41 to reduce its wealth per student to the equalized wealth level is entitled to a credit, in the amount of state aid to which the district is entitled under this section, against the total amount required under Section 41.093 for the district to purchase attendance credits.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