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86R10370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regarding Medicaid fair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531.0194.</w:t>
      </w:r>
      <w:r>
        <w:rPr>
          <w:u w:val="single"/>
        </w:rPr>
        <w:t xml:space="preserve"> </w:t>
      </w:r>
      <w:r>
        <w:rPr>
          <w:u w:val="single"/>
        </w:rPr>
        <w:t xml:space="preserve"> </w:t>
      </w:r>
      <w:r>
        <w:rPr>
          <w:u w:val="single"/>
        </w:rPr>
        <w:t xml:space="preserve">MEDICAID FAIR HEARING REQUIREMENTS.  (a)  The executive commissioner by rule shall require a hearing officer who conducts a Medicaid fair hearing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registered nurse, as defined by Section 301.152,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with a higher level of education and training than an advanced practice registered nurse, as determined by the executive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Medicaid fair hearing, the commission shall collect data regarding the hearing, including the identity and decision of the hearing officer. </w:t>
      </w:r>
      <w:r>
        <w:rPr>
          <w:u w:val="single"/>
        </w:rPr>
        <w:t xml:space="preserve"> </w:t>
      </w:r>
      <w:r>
        <w:rPr>
          <w:u w:val="single"/>
        </w:rPr>
        <w:t xml:space="preserve">The commission shall publish  the data collected under this subsection in a searchable format on the commission's Internet website, except that the commission may not publish information that identifies a Medicaid recipient involved in a Medicaid fair hearing or any information that is confidential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