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 et al.</w:t>
      </w:r>
      <w:r xml:space="preserve">
        <w:tab wTab="150" tlc="none" cTlc="0"/>
      </w:r>
      <w:r>
        <w:t xml:space="preserve">S.B.</w:t>
      </w:r>
      <w:r xml:space="preserve">
        <w:t> </w:t>
      </w:r>
      <w:r>
        <w:t xml:space="preserve">No.</w:t>
      </w:r>
      <w:r xml:space="preserve">
        <w:t> </w:t>
      </w:r>
      <w:r>
        <w:t xml:space="preserve">1193</w:t>
      </w:r>
    </w:p>
    <w:p w:rsidR="003F3435" w:rsidRDefault="0032493E">
      <w:pPr>
        <w:ind w:firstLine="720"/>
        <w:jc w:val="both"/>
      </w:pPr>
      <w:r>
        <w:t xml:space="preserve">(Landgraf)</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liability of and issuance of titles and permits for motor vehicles purchased from motor vehicle dealers that go out of business.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501, Transportation Code, is amended by adding Section 501.0236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501.0236.</w:t>
      </w:r>
      <w:r>
        <w:rPr>
          <w:u w:val="single"/>
        </w:rPr>
        <w:t xml:space="preserve"> </w:t>
      </w:r>
      <w:r>
        <w:rPr>
          <w:u w:val="single"/>
        </w:rPr>
        <w:t xml:space="preserve"> </w:t>
      </w:r>
      <w:r>
        <w:rPr>
          <w:u w:val="single"/>
        </w:rPr>
        <w:t xml:space="preserve">ISSUANCE OF TITLE AND PERMITS WHEN DEALER GOES OUT OF BUSINESS.  (a)</w:t>
      </w:r>
      <w:r>
        <w:rPr>
          <w:u w:val="single"/>
        </w:rPr>
        <w:t xml:space="preserve"> </w:t>
      </w:r>
      <w:r>
        <w:rPr>
          <w:u w:val="single"/>
        </w:rPr>
        <w:t xml:space="preserve"> </w:t>
      </w:r>
      <w:r>
        <w:rPr>
          <w:u w:val="single"/>
        </w:rPr>
        <w:t xml:space="preserve">This section applies only to a person who is the purchaser of a motor vehicle for which the dealer: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apply for a title for the vehicle under Section 501.0234;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for the title because the dealer has gone out of business.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purchaser to whom this section applies may apply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title in the manner prescribed by the department by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expiration of the buyer's tag issued to the purchaser under Section 503.063, a 30-day permit under Section 502.095.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title under this section must include a release of any recorded lien on the motor vehicle unless the only recorded lienholder is a dealer described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waive the payment of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title issued to a purchaser described by this section, if the purchaser can show that fees for a title were paid to the dealer;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30-day permit issued to a purchaser described by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503.033(e), the department may recover against the surety bond executed by the dealer under Section 503.033 the amount of any fee waived for a title or permit issued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adopt the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503.033, Transportation Code, is amended to read as follows:</w:t>
      </w:r>
    </w:p>
    <w:p w:rsidR="003F3435" w:rsidRDefault="0032493E">
      <w:pPr>
        <w:spacing w:line="480" w:lineRule="auto"/>
        <w:ind w:firstLine="720"/>
        <w:jc w:val="both"/>
      </w:pPr>
      <w:r>
        <w:t xml:space="preserve">Sec.</w:t>
      </w:r>
      <w:r xml:space="preserve">
        <w:t> </w:t>
      </w:r>
      <w:r>
        <w:t xml:space="preserve">503.033.</w:t>
      </w:r>
      <w:r xml:space="preserve">
        <w:t> </w:t>
      </w:r>
      <w:r xml:space="preserve">
        <w:t> </w:t>
      </w:r>
      <w:r>
        <w:rPr>
          <w:u w:val="single"/>
        </w:rPr>
        <w:t xml:space="preserve">SURETY BOND REQUIRED; LIABILITY OF SURETY</w:t>
      </w:r>
      <w:r>
        <w:t xml:space="preserve"> [</w:t>
      </w:r>
      <w:r>
        <w:rPr>
          <w:strike/>
        </w:rPr>
        <w:t xml:space="preserve">SECURITY REQUIREMENT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503.033(a)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issue or renew a motor vehicle dealer general distinguishing number or a wholesale motor vehicle auction general distinguishing number unless the applicant provides to the department[</w:t>
      </w:r>
      <w:r>
        <w:rPr>
          <w:strike/>
        </w:rPr>
        <w:t xml:space="preserve">:</w:t>
      </w:r>
    </w:p>
    <w:p w:rsidR="003F3435" w:rsidRDefault="0032493E">
      <w:pPr>
        <w:spacing w:line="480" w:lineRule="auto"/>
        <w:ind w:firstLine="1440"/>
        <w:jc w:val="both"/>
      </w:pPr>
      <w:r>
        <w:t xml:space="preserve">[</w:t>
      </w:r>
      <w:r>
        <w:rPr>
          <w:strike/>
        </w:rPr>
        <w:t xml:space="preserve">(1)</w:t>
      </w:r>
      <w:r>
        <w:t xml:space="preserve">] satisfactory proof that the applicant has purchased a properly executed surety bond in the amount of </w:t>
      </w:r>
      <w:r>
        <w:rPr>
          <w:u w:val="single"/>
        </w:rPr>
        <w:t xml:space="preserve">$50,000</w:t>
      </w:r>
      <w:r>
        <w:t xml:space="preserve"> [</w:t>
      </w:r>
      <w:r>
        <w:rPr>
          <w:strike/>
        </w:rPr>
        <w:t xml:space="preserve">$25,000</w:t>
      </w:r>
      <w:r>
        <w:t xml:space="preserve">] with a good and sufficient surety approved by the department[</w:t>
      </w:r>
      <w:r>
        <w:rPr>
          <w:strike/>
        </w:rPr>
        <w:t xml:space="preserve">; or</w:t>
      </w:r>
    </w:p>
    <w:p w:rsidR="003F3435" w:rsidRDefault="0032493E">
      <w:pPr>
        <w:spacing w:line="480" w:lineRule="auto"/>
        <w:ind w:firstLine="1440"/>
        <w:jc w:val="both"/>
      </w:pPr>
      <w:r>
        <w:t xml:space="preserve">[</w:t>
      </w:r>
      <w:r>
        <w:rPr>
          <w:strike/>
        </w:rPr>
        <w:t xml:space="preserve">(2) other security under Subsection (c)</w:t>
      </w:r>
      <w:r>
        <w:t xml:space="preserve">].</w:t>
      </w:r>
    </w:p>
    <w:p w:rsidR="003F3435" w:rsidRDefault="0032493E">
      <w:pPr>
        <w:spacing w:line="480" w:lineRule="auto"/>
        <w:ind w:firstLine="720"/>
        <w:jc w:val="both"/>
      </w:pPr>
      <w:r>
        <w:t xml:space="preserve">(d)</w:t>
      </w:r>
      <w:r xml:space="preserve">
        <w:t> </w:t>
      </w:r>
      <w:r xml:space="preserve">
        <w:t> </w:t>
      </w:r>
      <w:r>
        <w:t xml:space="preserve">A person may recover against a surety bond [</w:t>
      </w:r>
      <w:r>
        <w:rPr>
          <w:strike/>
        </w:rPr>
        <w:t xml:space="preserve">or other security</w:t>
      </w:r>
      <w:r>
        <w:t xml:space="preserve">] if the person obtains against a person issued a motor vehicle dealer general distinguishing number or a wholesale motor vehicle auction general distinguishing number a judgment assessing damages and reasonable attorney's fees based on an act or omission on which the bond is conditioned that occurred during the term for which the general distinguishing number was valid.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