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use of performance standards for certain secondary-level alternate assessment instruments administered to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only to an assessment instrument authorized under Section 39.025(a-1) or Section 39.025(a-2), as added by Chapter 1036 (H.B. 1613), Acts of the 84th Legislature, Regular Session, 2015, for use as an alternate assessment instrument for purposes of satisfying the requirements concerning an end-of-course assessment instrument. </w:t>
      </w:r>
      <w:r>
        <w:rPr>
          <w:u w:val="single"/>
        </w:rPr>
        <w:t xml:space="preserve"> </w:t>
      </w:r>
      <w:r>
        <w:rPr>
          <w:u w:val="single"/>
        </w:rPr>
        <w:t xml:space="preserve">The commissioner shall designate performance standards for student performance on each assessment instrument subject to this subsection in the same manner as the commissioner designates performance standards for student performance on each end-of-course assessment instrument listed in Section 39.023(c).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by rule shall determine a method for appropriately crediting a student for growth under Subsection (c)(2) based on the student's performance, as determined under the performance standards designated under Section 39.0241(a-2), on an alternate assessment instrument.</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