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1205</w:t>
      </w:r>
    </w:p>
    <w:p w:rsidR="003F3435" w:rsidRDefault="0032493E">
      <w:pPr>
        <w:ind w:firstLine="720"/>
        <w:jc w:val="both"/>
      </w:pPr>
      <w:r>
        <w:t xml:space="preserve">(Miller)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general revenue fund to the State Soil and Water Conservation Board for the purpose of eradicating Carrizo cane, contingent on the receipt of federal funds for the same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If the State Soil and Water Conservation Board receives at least $10 million in federal funds for use during the state fiscal biennium ending August 31, 2021, for the purpose of eradicating Carrizo cane along the Rio Grande River, then the amount of $10 million is appropriated from the general revenue fund to the State Soil and Water Conservation Board for the state fiscal biennium ending August 31, 2021, for the purpose of eradicating Carrizo cane along the Rio Grande River.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FISCAL RESPONSIBILITY. </w:t>
      </w:r>
      <w:r>
        <w:t xml:space="preserve"> </w:t>
      </w:r>
      <w:r>
        <w:t xml:space="preserve">The State Soil and Water Conservation Board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