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alcoholic beverages that become unfit for consumption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A, Chapter 109, Alcoholic Beverage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A. </w:t>
      </w:r>
      <w:r>
        <w:t xml:space="preserve"> </w:t>
      </w:r>
      <w:r>
        <w:t xml:space="preserve">SALVAGED AND INSURED LOSSES</w:t>
      </w:r>
      <w:r>
        <w:rPr>
          <w:u w:val="single"/>
        </w:rPr>
        <w:t xml:space="preserve">; UNINSURED LOSSES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109, Alcoholic Beverage Code, is amended by adding Section 109.09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UNINSURED BEVERAGES UNFIT FOR CONSUMPTION.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Uninsured ale, malt liquor, or beer that becomes unfit for public consumption, as described by Section 103.07(b), may be removed from the inventory of a retailer if the holder of the brewer's permit or manufacturer's license who manufactured the beverage and the wholesaler or distributor that distributed the beverage jointly determine that the beverage: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became unfit for public consumption as the result of a natural disaster in an area declared to be a disaster under Section 418.014,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should be removed from the inventory of the retailer.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 or brewer and a wholesaler or distributor who agree to the removal of a beverage under Subsection (a) must hold the retailer from whose inventory the beverage is removed harmless for the cost of the replacement of the removed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may provide requirements governing the disposal or destruction by a retailer of uninsured ale, malt liquor, or beer that is determined to be unfit for public consumption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