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this</w:t>
      </w:r>
      <w:r>
        <w:t xml:space="preserve"> [</w:t>
      </w:r>
      <w:r>
        <w:rPr>
          <w:strike/>
        </w:rPr>
        <w:t xml:space="preserve">the</w:t>
      </w:r>
      <w:r>
        <w:t xml:space="preserve">] state </w:t>
      </w:r>
      <w:r>
        <w:rPr>
          <w:u w:val="single"/>
        </w:rPr>
        <w:t xml:space="preserve">in a power region open to customer choice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this state </w:t>
      </w:r>
      <w:r>
        <w:rPr>
          <w:u w:val="single"/>
        </w:rPr>
        <w:t xml:space="preserve">in the same power region</w:t>
      </w:r>
      <w:r>
        <w:t xml:space="preserve"> shall obtain the approval of the commission before closing if the </w:t>
      </w:r>
      <w:r>
        <w:rPr>
          <w:u w:val="single"/>
        </w:rPr>
        <w:t xml:space="preserve">merged, consolidated, or affiliated entity would own and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commission does not issue an order consistent with Subsection (a-2) before the 121st day after the date the commission receives a request for approval under Subsection (a), the request is considered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(a-2), and (a-3), Utilities Code, as added by this Act, apply only to a request for an approval of a transaction received by the Public Utility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1211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1211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