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86R8866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verification of employability of and consent to prescription medications obtained by certain nursing facility employees;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of the commission, or the executive commissioner's designee,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for a position in which the person, as an employee, would have access to sensitive personal or financial information, as determined by the executive commissioner, in:</w:t>
      </w:r>
    </w:p>
    <w:p w:rsidR="003F3435" w:rsidRDefault="0032493E">
      <w:pPr>
        <w:spacing w:line="480" w:lineRule="auto"/>
        <w:ind w:firstLine="2160"/>
        <w:jc w:val="both"/>
      </w:pPr>
      <w:r>
        <w:t xml:space="preserve">(A)</w:t>
      </w:r>
      <w:r xml:space="preserve">
        <w:t> </w:t>
      </w:r>
      <w:r xml:space="preserve">
        <w:t> </w:t>
      </w:r>
      <w:r>
        <w:t xml:space="preserve">the eligibility services division of the commission; or</w:t>
      </w:r>
    </w:p>
    <w:p w:rsidR="003F3435" w:rsidRDefault="0032493E">
      <w:pPr>
        <w:spacing w:line="480" w:lineRule="auto"/>
        <w:ind w:firstLine="2160"/>
        <w:jc w:val="both"/>
      </w:pPr>
      <w:r>
        <w:t xml:space="preserve">(B)</w:t>
      </w:r>
      <w:r xml:space="preserve">
        <w:t> </w:t>
      </w:r>
      <w:r xml:space="preserve">
        <w:t> </w:t>
      </w:r>
      <w:r>
        <w:t xml:space="preserve">the commission's office of inspector general;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 employee of the commission who has access to sensitive personal or financial information, as determined by the executive commissioner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medication aide or nurse aide who is the subject of a verification of employability request submitted under Section 242.053,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242, Health and Safety Code, is amended by adding Section 242.053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VERIFICATION OF EMPLOYABILITY OF CERTAIN FACILITY EMPLOYEES REQUIRED; FEE.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"Medication aide" means an individual who administers medication to nursing facility residents and holds a permit issued under Section 242.610.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"Nurse aide" means an individual who provides nursing or nursing-related services to nursing facility residents under the delegated authority of a nurse. </w:t>
      </w:r>
      <w:r>
        <w:rPr>
          <w:u w:val="single"/>
        </w:rPr>
        <w:t xml:space="preserve"> </w:t>
      </w:r>
      <w:r>
        <w:rPr>
          <w:u w:val="single"/>
        </w:rPr>
        <w:t xml:space="preserve">The term includes an individual who is required to be listed in the nurse aide registry under Chapter 250. </w:t>
      </w:r>
      <w:r>
        <w:rPr>
          <w:u w:val="single"/>
        </w:rPr>
        <w:t xml:space="preserve"> </w:t>
      </w:r>
      <w:r>
        <w:rPr>
          <w:u w:val="single"/>
        </w:rPr>
        <w:t xml:space="preserve">The term does not include an individual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not employ a medication aide or nurse aide or contract for medication aide or nurse aide services with a medication aide or nurse aide unless the facility obtains from the commission a verification of employability for the medication aide or nurse aide under this section. </w:t>
      </w:r>
      <w:r>
        <w:rPr>
          <w:u w:val="single"/>
        </w:rPr>
        <w:t xml:space="preserve"> </w:t>
      </w:r>
      <w:r>
        <w:rPr>
          <w:u w:val="single"/>
        </w:rPr>
        <w:t xml:space="preserve">The executive commissioner by rule shall establish standards for verification of employability under this section as necessary to protect facility residents.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shall request, in the form and manner prescribed by commission rule, the commission to verify the employability of a medication aide or nurse aide who is applying for employment or requesting a contract with the facility.  The commission may not verify the employability of a medication aide or nurse aide unless the commission obtains the criminal history record information described by Subdivision (2) for the medication aide or nurse aide and determines that nothing in the information would disqualify the individual from employment as a medication aide or nurse aide. </w:t>
      </w:r>
      <w:r>
        <w:rPr>
          <w:u w:val="single"/>
        </w:rPr>
        <w:t xml:space="preserve"> </w:t>
      </w:r>
      <w:r>
        <w:rPr>
          <w:u w:val="single"/>
        </w:rPr>
        <w:t xml:space="preserve">In determining whether to verify the employability of a medication aide or nurse aide,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information provided to the commission by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information made available to the commission by the Department of Public Safety of the State of Texas under Section 411.1106, Government Code, or by the Federal Bureau of Investigation or another criminal justice agency under Section 411.087,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commission's records, including any information included in a registry maintained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medication aide or nurse aide to submit a complete set of fingerprints to the commission for purposes of conducting a criminal history background check.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require a nursing facility requesting the commission to verify employability under Subsection (c) to pay to the commission a fee set by commission rule in an amount not to exceed the administrative costs the commission incurs in complying with a request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242.505, Health and Safety Code, is amended by amending Subsection (c) and adding Subsections (g), (h), and (i)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(g), consent</w:t>
      </w:r>
      <w:r>
        <w:t xml:space="preserve"> [</w:t>
      </w:r>
      <w:r>
        <w:rPr>
          <w:strike/>
        </w:rPr>
        <w:t xml:space="preserve">Consent</w:t>
      </w:r>
      <w:r>
        <w:t xml:space="preserve">]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 or that person's designee provided the following information, in a standard format approved by the </w:t>
      </w:r>
      <w:r>
        <w:rPr>
          <w:u w:val="single"/>
        </w:rPr>
        <w:t xml:space="preserve">commission</w:t>
      </w:r>
      <w:r>
        <w:t xml:space="preserve"> </w:t>
      </w:r>
      <w:r>
        <w:t xml:space="preserve">[</w:t>
      </w:r>
      <w:r>
        <w:rPr>
          <w:strike/>
        </w:rPr>
        <w:t xml:space="preserve">department</w:t>
      </w:r>
      <w:r>
        <w:t xml:space="preserve">],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original or a copy of the written consent required by Subsection (g)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of Subsection (c), consent to the prescription of an antipsychotic or neuroleptic medication is valid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consent to the prescription of that medication is given in writing by the resident for whom the medication is prescribed or by a person authorized by law to consent on behalf of the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prescribing the medication or that person's designee provides the information listed in Subsection (h), in a standard format approved by the commission, to the resident and, if applicable, to the person authorized by law to consent on behalf of the resident.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information required under Subsection (g)(2)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medication;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means of administering the medication,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dosage;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administration schedule;</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method of delivery;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expected duration of administration;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right of the resident or a person authorized by law to consent on behalf of the resident to refuse medication;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medical and clinical consequences of refusing the medication;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explanation of treatment alternatives and the right of the resident or a person authorized by law to consent on behalf of the resident to choose such treatments.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other requirements of this section, before administering an antipsychotic or neuroleptic medication, the nursing facility shall inform the resident or a person authorized by law to consent on behalf of the resident about facility policies and procedures relating to consent and, on request of the resident or authorized person, shall make available a written copy of those policies and procedures.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rules necessary to implement Section 242.053,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242.053, Health and Safety Code, as added by this Act, a nursing facility licensed under Chapter 242, Health and Safety Code, is not required to comply with that section or rules adopted under that section until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242.053, Health and Safety Code, as added by this Act, applies only to the employment of a medication aide or nurse aide or a contract entered into with a medication aide or nurse aide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