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Seliger</w:t>
      </w:r>
      <w:r xml:space="preserve">
        <w:tab wTab="150" tlc="none" cTlc="0"/>
      </w:r>
      <w:r>
        <w:t xml:space="preserve">S.B.</w:t>
      </w:r>
      <w:r xml:space="preserve">
        <w:t> </w:t>
      </w:r>
      <w:r>
        <w:t xml:space="preserve">No.</w:t>
      </w:r>
      <w:r xml:space="preserve">
        <w:t> </w:t>
      </w:r>
      <w:r>
        <w:t xml:space="preserve">1214</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27,</w:t>
      </w:r>
      <w:r xml:space="preserve">
        <w:t> </w:t>
      </w:r>
      <w:r>
        <w:t xml:space="preserve">2019; March</w:t>
      </w:r>
      <w:r xml:space="preserve">
        <w:t> </w:t>
      </w:r>
      <w:r>
        <w:t xml:space="preserve">7,</w:t>
      </w:r>
      <w:r xml:space="preserve">
        <w:t> </w:t>
      </w:r>
      <w:r>
        <w:t xml:space="preserve">2019, read first time and referred to Committee on Finance; April</w:t>
      </w:r>
      <w:r xml:space="preserve">
        <w:t> </w:t>
      </w:r>
      <w:r>
        <w:t xml:space="preserve">8,</w:t>
      </w:r>
      <w:r xml:space="preserve">
        <w:t> </w:t>
      </w:r>
      <w:r>
        <w:t xml:space="preserve">2019, reported adversely, with favorable Committee Substitute by the following vote:</w:t>
      </w:r>
      <w:r>
        <w:t xml:space="preserve"> </w:t>
      </w:r>
      <w:r>
        <w:t xml:space="preserve"> </w:t>
      </w:r>
      <w:r>
        <w:t xml:space="preserve">Yeas 15, Nays 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1214</w:t>
      </w:r>
      <w:r xml:space="preserve">
        <w:tab wTab="150" tlc="none" cTlc="0"/>
      </w:r>
      <w:r>
        <w:t xml:space="preserve">By:</w:t>
      </w:r>
      <w:r xml:space="preserve">
        <w:t> </w:t>
      </w:r>
      <w:r xml:space="preserve">
        <w:t> </w:t>
      </w:r>
      <w:r>
        <w:t xml:space="preserve">Birdwell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sales and use tax exemption for certain aircraft.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151.328(h), Tax Code, is amended to read as follows:</w:t>
      </w:r>
    </w:p>
    <w:p w:rsidR="003F3435" w:rsidRDefault="0032493E">
      <w:pPr>
        <w:spacing w:line="480" w:lineRule="auto"/>
        <w:ind w:firstLine="720"/>
        <w:jc w:val="both"/>
      </w:pPr>
      <w:r>
        <w:t xml:space="preserve">(h)</w:t>
      </w:r>
      <w:r xml:space="preserve">
        <w:t> </w:t>
      </w:r>
      <w:r xml:space="preserve">
        <w:t> </w:t>
      </w:r>
      <w:r>
        <w:t xml:space="preserve">For purposes of the exemption under Subsection (a)(5), an aircraft is considered to be for use exclusively in connection with an agricultural use if 95 percent of the use of the aircraft is for a purpose described by Subsections</w:t>
      </w:r>
      <w:r>
        <w:t xml:space="preserve"> </w:t>
      </w:r>
      <w:r>
        <w:t xml:space="preserve">(a)(5)(A)-(F). </w:t>
      </w:r>
      <w:r>
        <w:t xml:space="preserve"> </w:t>
      </w:r>
      <w:r>
        <w:rPr>
          <w:u w:val="single"/>
        </w:rPr>
        <w:t xml:space="preserve">Intrastate travel</w:t>
      </w:r>
      <w:r>
        <w:t xml:space="preserve"> [</w:t>
      </w:r>
      <w:r>
        <w:rPr>
          <w:strike/>
        </w:rPr>
        <w:t xml:space="preserve">Travel of less than 30 miles each way</w:t>
      </w:r>
      <w:r>
        <w:t xml:space="preserve">] to a location to perform a service described by Subsections (a)(5)(A)-(F) does not disqualify an aircraft from the exemption under Subsection (a)(5). </w:t>
      </w:r>
      <w:r>
        <w:t xml:space="preserve"> </w:t>
      </w:r>
      <w:r>
        <w:t xml:space="preserve">A person who claims an exemption under Subsection (a)(5) must maintain and make available to the comptroller flight records for all uses of the aircraft.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