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86R9340 JRJ-D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1228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verification of citizenship of an applicant for voter registration.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13.071, Election Code, is amended to read as follows:</w:t>
      </w:r>
    </w:p>
    <w:p w:rsidR="003F3435" w:rsidRDefault="0032493E">
      <w:pPr>
        <w:spacing w:line="480" w:lineRule="auto"/>
        <w:ind w:firstLine="720"/>
        <w:jc w:val="both"/>
      </w:pPr>
      <w:r>
        <w:t xml:space="preserve">Sec.</w:t>
      </w:r>
      <w:r xml:space="preserve">
        <w:t> </w:t>
      </w:r>
      <w:r>
        <w:t xml:space="preserve">13.071.</w:t>
      </w:r>
      <w:r xml:space="preserve">
        <w:t> </w:t>
      </w:r>
      <w:r xml:space="preserve">
        <w:t> </w:t>
      </w:r>
      <w:r>
        <w:t xml:space="preserve">REVIEW OF APPLICATION.  (a)  The registrar shall review each submitted application for registration to determine whether it complies with Section 13.002 and indicates that the applicant is </w:t>
      </w:r>
      <w:r>
        <w:rPr>
          <w:u w:val="single"/>
        </w:rPr>
        <w:t xml:space="preserve">a United States citizen</w:t>
      </w:r>
      <w:r>
        <w:t xml:space="preserve"> eligible for registration.</w:t>
      </w:r>
    </w:p>
    <w:p w:rsidR="003F3435" w:rsidRDefault="0032493E">
      <w:pPr>
        <w:spacing w:line="480" w:lineRule="auto"/>
        <w:ind w:firstLine="720"/>
        <w:jc w:val="both"/>
      </w:pPr>
      <w:r>
        <w:t xml:space="preserve">(b)</w:t>
      </w:r>
      <w:r xml:space="preserve">
        <w:t> </w:t>
      </w:r>
      <w:r xml:space="preserve">
        <w:t> </w:t>
      </w:r>
      <w:r>
        <w:rPr>
          <w:u w:val="single"/>
        </w:rPr>
        <w:t xml:space="preserve">If the application is submitted to the Department of Public Safety in person with the proof of citizenship required by Section 20.063(e), the</w:t>
      </w:r>
      <w:r>
        <w:t xml:space="preserve"> </w:t>
      </w:r>
      <w:r>
        <w:t xml:space="preserve">[</w:t>
      </w:r>
      <w:r>
        <w:rPr>
          <w:strike/>
        </w:rPr>
        <w:t xml:space="preserve">The</w:t>
      </w:r>
      <w:r>
        <w:t xml:space="preserve">] registrar shall make the determination not later than the seventh day after the date the application is submitted to the registrar.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application is submitted in a manner other than the manner described by Subsection (b), the registrar shall forward the information relating to the applicant to the secretary of state for determining citizenship as provided by Section 13.0721.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13, Election Code, is amended by adding Section 13.0721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13.0721.</w:t>
      </w:r>
      <w:r>
        <w:rPr>
          <w:u w:val="single"/>
        </w:rPr>
        <w:t xml:space="preserve"> </w:t>
      </w:r>
      <w:r>
        <w:rPr>
          <w:u w:val="single"/>
        </w:rPr>
        <w:t xml:space="preserve"> </w:t>
      </w:r>
      <w:r>
        <w:rPr>
          <w:u w:val="single"/>
        </w:rPr>
        <w:t xml:space="preserve">DETERMINATION OF CITIZENSHIP.  (a) </w:t>
      </w:r>
      <w:r>
        <w:rPr>
          <w:u w:val="single"/>
        </w:rPr>
        <w:t xml:space="preserve"> </w:t>
      </w:r>
      <w:r>
        <w:rPr>
          <w:u w:val="single"/>
        </w:rPr>
        <w:t xml:space="preserve">This section does not apply to an application for registration submitted to the Department of Public Safety in person with the proof of citizenship required by Section 20.063(e).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verify with the Department of Public Safety the citizenship status of each applicant for voter registration whose information is forwarded to the secretary of state as provided by Section 13.071(c).  If the department verifies the applicant's citizenship status, the secretary of state shall notify the registrar. </w:t>
      </w:r>
      <w:r>
        <w:rPr>
          <w:u w:val="single"/>
        </w:rPr>
        <w:t xml:space="preserve"> </w:t>
      </w:r>
      <w:r>
        <w:rPr>
          <w:u w:val="single"/>
        </w:rPr>
        <w:t xml:space="preserve">If the department does not have information regarding the citizenship status of the applicant or has information indicating that the applicant is not a citizen, the registrar and the applicant shall be notified as provided by secretary of state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voter registration who receives notice under Subsection (b) must provide proof of citizenship to the registrar not later than the 60th day after the date of receipt.  Except as provided by Subsection (d), this proof must be presented in person.  The following is acceptable as proof of citizenship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presented with a government-issued identification that contains the person's photograph;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 presented with a government-issued identification that contains the person's photograph.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applicant may mail a certified copy of a document described by Subsection (c)(2) or (3) with a copy of the person's government-issued photo identification to the registrar.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an applicant does not provide proof of citizenship as required, the registrar shall cancel the registration and notify the secretary of state.  The secretary of state shall keep a list of applicants of which the secretary receives notice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adopt rules and prescribe procedures to implement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20.063,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who submits a voter registration application to the department in person shall at the time of submission present as proof of citizenship:</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unexpired passport issued to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certified copy of a birth certificate or other document confirming the person's birth that is admissible in a court of law and establishes the person's identity;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United States citizenship papers issued to the person.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application to register to vote submitted on or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