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1235</w:t>
      </w:r>
    </w:p>
    <w:p w:rsidR="003F3435" w:rsidRDefault="0032493E">
      <w:pPr>
        <w:ind w:firstLine="720"/>
        <w:jc w:val="both"/>
      </w:pPr>
      <w:r>
        <w:t xml:space="preserve">(Oliverson)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enrollment of health care providers in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531.02118, Government Code, is amended by amending Subsection (c) and adding Subsections (e), (f), (g), (h), and (i) to read as follows:</w:t>
      </w:r>
    </w:p>
    <w:p w:rsidR="003F3435" w:rsidRDefault="0032493E">
      <w:pPr>
        <w:spacing w:line="480" w:lineRule="auto"/>
        <w:ind w:firstLine="720"/>
        <w:jc w:val="both"/>
      </w:pPr>
      <w:r>
        <w:t xml:space="preserve">(c)</w:t>
      </w:r>
      <w:r xml:space="preserve">
        <w:t> </w:t>
      </w:r>
      <w:r xml:space="preserve">
        <w:t> </w:t>
      </w:r>
      <w:r>
        <w:t xml:space="preserve">In streamlining the Medicaid provider credentialing process under this section, the commission may designate a centralized credentialing entity and </w:t>
      </w:r>
      <w:r>
        <w:rPr>
          <w:u w:val="single"/>
        </w:rPr>
        <w:t xml:space="preserve">shall require</w:t>
      </w:r>
      <w:r>
        <w:t xml:space="preserve"> [</w:t>
      </w:r>
      <w:r>
        <w:rPr>
          <w:strike/>
        </w:rPr>
        <w:t xml:space="preserve">may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that the credentialing entity and the entity serving as the state's Medicaid claims administrator</w:t>
      </w:r>
      <w:r>
        <w:t xml:space="preserve"> </w:t>
      </w:r>
      <w:r>
        <w:t xml:space="preserve">share information </w:t>
      </w:r>
      <w:r>
        <w:rPr>
          <w:u w:val="single"/>
        </w:rPr>
        <w:t xml:space="preserve">to reduce the submission of duplicative information or documents necessary for both Medicaid enrollment and credentialing</w:t>
      </w:r>
      <w:r>
        <w:t xml:space="preserve"> </w:t>
      </w:r>
      <w:r>
        <w:t xml:space="preserve">[</w:t>
      </w:r>
      <w:r>
        <w:rPr>
          <w:strike/>
        </w:rPr>
        <w:t xml:space="preserve">in the database established under Subchapter C, Chapter 32, Human Resources Code, with the centralized credentialing entity</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require</w:t>
      </w:r>
      <w:r>
        <w:t xml:space="preserve">] all managed care organizations contracting with the commission to provide health care services to Medicaid recipients under a managed care plan issued by the organization to use the centralized credentialing entity as a hub for the collection and sharing of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commission shall enroll a provider as a Medicaid provider, without requiring the provider to separately apply for enrollment through the entity serving as the state's Medicaid claims administrator, if the provider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credentialed by a managed care organization that contracts with the commission under Chapter 533;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enrolled as a Medicare provider.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by rule may establish additional enrollment requirements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necessary to enroll a provider as a Medicaid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otherwise required by managed care organization credentialing or Medicare provider enrollment.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track the number of providers that enroll as Medicaid providers through each type of enrollment process described by Subsection (e), including the enrollment process through the entity serving as the state's Medicaid claims administrator.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develop a process to streamline the Medicaid enrollment of a provider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services through a single case agreement to a recipient who is also enrolled in a private group health benefit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as a provider in that group health benefit plan.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use a provider's national provider identifier number to enroll a provider under Subsection (h).  In this subsection, "national provider identifier number" means the national provider identifier number required under Section 1128J(e), Social Security Act (42 U.S.C. Section 1320a-7k(e)).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