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86R10369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enrollment of health care providers in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531.02118, Government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enroll a provider as a Medicaid provider, without requiring the provider to separately apply for enrollment through the entity serving as the state's Medicaid claims administrator, if the provider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credentialed by a managed care organization that contracts with the commission under Chapter 533;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enrolled as a Medicare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track the number of providers that enroll as Medicaid providers through each type of enrollment process described by Subsection (e), including the enrollment process through the entity serving as the state's Medicaid claims administrator.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develop a process to streamline the Medicaid enrollment of a provider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services to a recipient who is also enrolled in a private group health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as a provider in that group health benefit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