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86R5026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students eligible to receive compensatory, intensive, and accelerated instructional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29.081(d)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dyslexia or a related disorder;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is educationally disadvantaged;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has enrolled in two or more public schools, including an open-enrollment charter school, in the same school year during the preceding or current school year; or</w:t>
      </w:r>
      <w:r>
        <w:t xml:space="preserve"> </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has 10 or more absences in a school year, with each partial-day absence counting as a half day, during the preceding or current school year</w:t>
      </w:r>
      <w:r>
        <w:t xml:space="preserve">.</w:t>
      </w:r>
    </w:p>
    <w:p w:rsidR="003F3435" w:rsidRDefault="0032493E">
      <w:pPr>
        <w:spacing w:line="480" w:lineRule="auto"/>
        <w:ind w:firstLine="720"/>
        <w:jc w:val="both"/>
      </w:pPr>
      <w:r>
        <w:t xml:space="preserve">(g)</w:t>
      </w:r>
      <w:r xml:space="preserve">
        <w:t> </w:t>
      </w:r>
      <w:r xml:space="preserve">
        <w:t> </w:t>
      </w:r>
      <w:r>
        <w:t xml:space="preserve">In addition to students described by Subsection (d), a student who satisfies local eligibility criteria adopted by the board of trustees of a school district may receive instructional services under this section. </w:t>
      </w:r>
      <w:r>
        <w:t xml:space="preserve"> </w:t>
      </w:r>
      <w:r>
        <w:t xml:space="preserve">The number of students receiving services under this subsection during a school year may not exceed </w:t>
      </w:r>
      <w:r>
        <w:rPr>
          <w:u w:val="single"/>
        </w:rPr>
        <w:t xml:space="preserve">20</w:t>
      </w:r>
      <w:r>
        <w:t xml:space="preserve"> [</w:t>
      </w:r>
      <w:r>
        <w:rPr>
          <w:strike/>
        </w:rPr>
        <w:t xml:space="preserve">10</w:t>
      </w:r>
      <w:r>
        <w:t xml:space="preserve">] percent of the number of students described by Subsection (d) who received services from the district during the preceding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33.151(4),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"Student at risk of dropping out of school" means:</w:t>
      </w:r>
    </w:p>
    <w:p w:rsidR="003F3435" w:rsidRDefault="0032493E">
      <w:pPr>
        <w:spacing w:line="480" w:lineRule="auto"/>
        <w:ind w:firstLine="2160"/>
        <w:jc w:val="both"/>
      </w:pPr>
      <w:r>
        <w:t xml:space="preserve">(A)</w:t>
      </w:r>
      <w:r xml:space="preserve">
        <w:t> </w:t>
      </w:r>
      <w:r xml:space="preserve">
        <w:t> </w:t>
      </w:r>
      <w:r>
        <w:t xml:space="preserve">a student at risk of dropping out of school as defined by Section 29.081;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student who is eligible for a free or reduced lunch;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student who is in family conflict or crisis.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