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 application requirements for solid waste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361.064,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application under this subchapter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from the applicant that the applicant has mailed to each resident living one mile or less from the site and each community organization, nonprofit organization, or civic club located two miles or less from the site: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explanation of the site's proposed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questionnaire seeking community comments regarding the site's proposed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comments made by residents, organizations, or clubs in response to the questionnaire.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