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86R12350 JRJ-F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1254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verification of the citizenship status of certain registered voters.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16.0332(a),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After the registrar receives </w:t>
      </w:r>
      <w:r>
        <w:rPr>
          <w:u w:val="single"/>
        </w:rPr>
        <w:t xml:space="preserve">notification</w:t>
      </w:r>
      <w:r>
        <w:t xml:space="preserve"> </w:t>
      </w:r>
      <w:r>
        <w:t xml:space="preserve">[</w:t>
      </w:r>
      <w:r>
        <w:rPr>
          <w:strike/>
        </w:rPr>
        <w:t xml:space="preserve">a list</w:t>
      </w:r>
      <w:r>
        <w:t xml:space="preserve">] under Section 18.068 of this code or Section 62.113, Government Code, of persons excused or disqualified from jury service because of citizenship status </w:t>
      </w:r>
      <w:r>
        <w:rPr>
          <w:u w:val="single"/>
        </w:rPr>
        <w:t xml:space="preserve">or who have indicated a lack of citizenship status in connection with a motor vehicle record</w:t>
      </w:r>
      <w:r>
        <w:t xml:space="preserve">, the registrar shall deliver to each registered voter whose name appears on the list a written notice requiring the voter to submit to the registrar proof of United States citizenship in the form of a certified copy of the voter's birth certificate, United States passport, or certificate of naturalization or any other form prescribed by the secretary of state.</w:t>
      </w:r>
      <w:r xml:space="preserve">
        <w:t> </w:t>
      </w:r>
      <w:r xml:space="preserve">
        <w:t> </w:t>
      </w:r>
      <w:r>
        <w:t xml:space="preserve">The notice shall be delivered by forwardable mail to the mailing address on the voter's registration application and to any new address of the voter known to the registrar.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18.068(a) and (b), Election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secretary of state shall quarterly compare the information received under Section 16.001 of this code</w:t>
      </w:r>
      <w:r>
        <w:rPr>
          <w:u w:val="single"/>
        </w:rPr>
        <w:t xml:space="preserve">,</w:t>
      </w:r>
      <w:r>
        <w:t xml:space="preserve"> </w:t>
      </w:r>
      <w:r>
        <w:t xml:space="preserve">[</w:t>
      </w:r>
      <w:r>
        <w:rPr>
          <w:strike/>
        </w:rPr>
        <w:t xml:space="preserve">and</w:t>
      </w:r>
      <w:r>
        <w:t xml:space="preserve">] Section 62.113, Government Code, </w:t>
      </w:r>
      <w:r>
        <w:rPr>
          <w:u w:val="single"/>
        </w:rPr>
        <w:t xml:space="preserve">and Section 730.005(9), Transportation Code,</w:t>
      </w:r>
      <w:r>
        <w:t xml:space="preserve"> to the statewide computerized voter registration list. If the secretary determines that a voter on the registration list is deceased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or</w:t>
      </w:r>
      <w:r>
        <w:t xml:space="preserve">] has been excused or disqualified from jury service because the voter is not a citizen, </w:t>
      </w:r>
      <w:r>
        <w:rPr>
          <w:u w:val="single"/>
        </w:rPr>
        <w:t xml:space="preserve">or has indicated the voter is not a citizen in connection with a motor vehicle record,</w:t>
      </w:r>
      <w:r>
        <w:t xml:space="preserve"> the secretary shall send notice of the determination to the voter registrar of the counties considered appropriate by the secretary.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secretary of state shall by rule determine what information combinations identified as common to a voter and to an individual </w:t>
      </w:r>
      <w:r>
        <w:rPr>
          <w:u w:val="single"/>
        </w:rPr>
        <w:t xml:space="preserve">for whom the secretary of state has received information under this section</w:t>
      </w:r>
      <w:r>
        <w:t xml:space="preserve"> [</w:t>
      </w:r>
      <w:r>
        <w:rPr>
          <w:strike/>
        </w:rPr>
        <w:t xml:space="preserve">who is deceased</w:t>
      </w:r>
      <w:r>
        <w:t xml:space="preserve">] constitute a weak match or a strong match in order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produce the least possible impact on Texas voters;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fulfill its responsibility to manage the voter rolls.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1254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