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1261</w:t>
      </w:r>
    </w:p>
    <w:p w:rsidR="003F3435" w:rsidRDefault="0032493E">
      <w:pPr>
        <w:ind w:firstLine="720"/>
        <w:jc w:val="both"/>
      </w:pPr>
      <w:r>
        <w:t xml:space="preserve">(Bohac)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to serve as the chief appraiser for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6, Tax Code, is amended by adding Section 6.054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EMPLOYMENT AS CHIEF APPRAISER.  A person may not be employed as the chief appraiser for an appraisal district if the person is an elected or appointed officer of a taxing unit located wholly or partly in the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