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1268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Criminal Justice;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statement presented in a criminal case by a victim, close relative of a deceased victim, or guardian of a victim.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42.03,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not impose a limit on the number of victims, close relatives, or guardians who may appear and present statements under Subsection (b) unless the court finds that additional statements would unreasonably delay the proceeding.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