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1273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Finance; March</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13, Nays 0; March</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1273</w:t>
      </w:r>
      <w:r xml:space="preserve">
        <w:tab wTab="150" tlc="none" cTlc="0"/>
      </w:r>
      <w:r>
        <w:t xml:space="preserve">By:</w:t>
      </w:r>
      <w:r xml:space="preserve">
        <w:t> </w:t>
      </w:r>
      <w:r xml:space="preserve">
        <w:t> </w:t>
      </w:r>
      <w:r>
        <w:t xml:space="preserve">Bettencourt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sales and use tax exemption for certain amusement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151.3101, Tax Code, is amended by adding Subsection (b-1) and amending Subsection (c)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amusement service remains exclusively provided under Subsection (a)(3) or (5) if an entity described by Subsection (a)(3) or (5) contracts with another entity not listed in or described by Subsection (a) to provide touring theatrical productions: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a contract with the other entity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term of at least five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five presentations each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held at a location either owned by, or leased or licensed for a term of at least one year to, the contracting entity described by Subsection (a)(3) or (5).</w:t>
      </w:r>
    </w:p>
    <w:p w:rsidR="003F3435" w:rsidRDefault="0032493E">
      <w:pPr>
        <w:spacing w:line="480" w:lineRule="auto"/>
        <w:ind w:firstLine="720"/>
        <w:jc w:val="both"/>
      </w:pPr>
      <w:r>
        <w:t xml:space="preserve">(c)</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"Educational</w:t>
      </w:r>
      <w:r>
        <w:t xml:space="preserve">[</w:t>
      </w:r>
      <w:r>
        <w:rPr>
          <w:strike/>
        </w:rPr>
        <w:t xml:space="preserve">, "educational</w:t>
      </w:r>
      <w:r>
        <w:t xml:space="preserve">] organization"</w:t>
      </w:r>
      <w:r>
        <w:t xml:space="preserve"> </w:t>
      </w:r>
      <w:r>
        <w:t xml:space="preserve">includes an entity described by Section 61.003(8) or (15),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"Theatrical production" means a live staged play, musical play, opera, or ballet.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