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86R2440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school districts to administer college readiness assessment instruments to certain students at state cost.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39.0261(a)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addition to the assessment instruments otherwise authorized or required by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each school year and at state cost, a school district may administer to students in the spring of the eighth grade an established, valid, reliable, and nationally norm-referenced preliminary college preparation assessment instrument for the purpose of diagnosing the academic strengths and deficiencies of students before entrance into high school;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each school year and at state cost, a school district may administer to students in the 10th grade an established, valid, reliable, and nationally norm-referenced preliminary college preparation assessment instrument for the purpose of measuring a student's progress toward readiness for college and the workplace;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each school year and at state cost, a school district shall administer to students in a grade level determined by the commissioner who have been administered the Algebra I end-of-course assessment or English I and English II end-of-course assessments as described by Section 39.023(a-2)(2) one of the valid, reliable, and nationally norm-referenced assessment instruments used by colleges and universities as part of their undergraduate admissions processes for the purpose of fulfilling federal requirements regarding assessment at the high school level;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high school students in the spring of the 11th grade or during the 12th grade</w:t>
      </w:r>
      <w:r>
        <w:rPr>
          <w:u w:val="single"/>
        </w:rPr>
        <w:t xml:space="preserve">, other than students administered an assessment instrument under Subdivision (3),</w:t>
      </w:r>
      <w:r>
        <w:t xml:space="preserve"> </w:t>
      </w:r>
      <w:r>
        <w:t xml:space="preserve">may select and take once, at state cost, one of the valid, reliable, and nationally norm-referenced assessment instruments used by colleges and universities as part of their undergraduate admissions processes.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Subsection </w:t>
      </w:r>
      <w:r>
        <w:rPr>
          <w:u w:val="single"/>
        </w:rPr>
        <w:t xml:space="preserve">(a)(4)</w:t>
      </w:r>
      <w:r>
        <w:t xml:space="preserve"> [</w:t>
      </w:r>
      <w:r>
        <w:rPr>
          <w:strike/>
        </w:rPr>
        <w:t xml:space="preserve">(a)(3)</w:t>
      </w:r>
      <w:r>
        <w:t xml:space="preserve">] does not prohibit a high school student in the [</w:t>
      </w:r>
      <w:r>
        <w:rPr>
          <w:strike/>
        </w:rPr>
        <w:t xml:space="preserve">spring of the</w:t>
      </w:r>
      <w:r>
        <w:t xml:space="preserve">] 11th grade or during the 12th grade from selecting and taking, at the student's own expense, one of the valid, reliable, and nationally norm-referenced assessment instruments used by colleges and universities as part of their undergraduate admissions processes [</w:t>
      </w:r>
      <w:r>
        <w:rPr>
          <w:strike/>
        </w:rPr>
        <w:t xml:space="preserve">more than once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