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86R10523 GCB-D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Campbell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1277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guidelines for the proper care and display of the United States and Texas flags by public schools.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7, Education Code, is amended by adding Section 7.045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7.045.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PROPER CARE AND DISPLAY OF UNITED STATES AND TEXAS FLAGS.  The agency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by rule develop and adopt guidelines for the proper care and display of the United States and Texas flags with respect to the duty under Section 1.003 to fly the flags;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publish the guidelines on the agency's Internet website.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1277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