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86R2305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whom certain violations of the law by a state or local governmental entity may be reported.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554.002(a),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state or local governmental entity may not suspend or terminate the employment of, or take other adverse personnel action against, a public employee who in good faith reports a violation of law by the employing governmental entity or another public employee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reporting employee's supervisor at the employing governmental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or office designated by the employing governmental entity as the appropriate individual or office for reporting such grievances;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human resources staff of the employing governmental entity;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an appropriate law enforcement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