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1289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Department of Family and Protective Services plan to address the substitute care capacity needs in certain department regions.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264.1261(b), Family Code, as added by Chapter 319 (S.B. 11), Acts of the 85th Legislature, Regular Session, 2017, is amended to read as follows:</w:t>
      </w:r>
    </w:p>
    <w:p w:rsidR="003F3435" w:rsidRDefault="0032493E">
      <w:pPr>
        <w:spacing w:line="480" w:lineRule="auto"/>
        <w:ind w:firstLine="720"/>
        <w:jc w:val="both"/>
      </w:pPr>
      <w:r>
        <w:t xml:space="preserve">(b)</w:t>
      </w:r>
      <w:r xml:space="preserve">
        <w:t> </w:t>
      </w:r>
      <w:r xml:space="preserve">
        <w:t> </w:t>
      </w:r>
      <w:r>
        <w:t xml:space="preserve">Appropriate department management personnel from a child protective services region in which community-based care has not been implemented, in collaboration with foster care providers, faith-based entities, and child advocates in that region, shall use data collected by the department on foster care capacity needs and availability of each type of foster care and kinship placement in the region to create a plan to address the substitute care capacity needs in the region.  The plan must identify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both</w:t>
      </w:r>
      <w:r>
        <w:t xml:space="preserve">] short-term and long-term goals and strategies for addressing those capacity needs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capacity and geographic distribution of the following foster placements: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residential family-based substance use treatment facilities;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qualified residential treatment programs as defined in the federal Family First Prevention Services Act (Title VII, Div. E, Pub. L. No.</w:t>
      </w:r>
      <w:r>
        <w:rPr>
          <w:u w:val="single"/>
        </w:rPr>
        <w:t xml:space="preserve"> </w:t>
      </w:r>
      <w:r>
        <w:rPr>
          <w:u w:val="single"/>
        </w:rPr>
        <w:t xml:space="preserve">115-123);</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settings specializing in providing prenatal, post-partum, or parenting supports for youth;</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supervised settings in which a child who has attained 18 years of age is living independently;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settings providing high-quality residential care to children and youth who have been found to be, or are at risk of becoming, sex trafficking victims.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264.1261(a) and (b), Family Code, as added by Chapter 822 (H.B. 1549), Acts of the 85th Legislature, Regular Session, 2017,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