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1297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of uniform general conditions for building construction contracts entered into by school districts and the composition of the committee that reviews uniform general conditions.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44, Education Code, is amended by adding Section 44.035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ADOPTION OF UNIFORM GENERAL CONDITIONS FOR SCHOOL DISTRICT BUILDING CONSTRUCTION CONTRACTS.  After reviewing the uniform general conditions adopted by the Texas Facilities Commission under Section 2166.302, Government Code, a school district may adopt uniform general conditions to be incorporated in all district building construction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2166.305(b),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committee appointed by the commission shall perform the review. </w:t>
      </w:r>
      <w:r>
        <w:t xml:space="preserve"> </w:t>
      </w:r>
      <w:r>
        <w:t xml:space="preserve">The committee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director of facilities construction and space management appointed under Section 2152.104, who serves as the presiding officer of the committee;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six individuals appointed by the commission, one each from the lists of nominees submitted respectively by the: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president of the Texas Society of Architects;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president of the Texas Society of Professional Engineers;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presiding officer of the Executive Council of the Texas Associated General Contractors Chapters;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executive secretary of the Mechanical Contractors Associations of Texas, Incorporated;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executive secretary of the Texas Building and Construction Trades Council;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president of the Associated Builders and Contractors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individual appointed by the commission representing an institution of higher education, as defined by Section 61.003,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individual appointed by the commission representing a state agency that has a substantial ongoing construction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individual appointed by the commission representing the attorney general's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individual appointed by the commission representing the interests of historically underutilized businesses;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two individuals appointed by the commission, each representing a different minority contractors association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Boards;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Administrators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Facilities Commission shall appoint two additional members to the committee in accordance with Section 2166.305(b),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