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1297</w:t>
      </w:r>
    </w:p>
    <w:p w:rsidR="003F3435" w:rsidRDefault="0032493E">
      <w:pPr>
        <w:ind w:firstLine="720"/>
        <w:jc w:val="both"/>
      </w:pPr>
      <w:r>
        <w:t xml:space="preserve">(Lucio III)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adoption of uniform general conditions for building construction contracts entered into by school districts and the composition of the committee that reviews uniform general conditions.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44, Education Code, is amended by adding Section 44.035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ADOPTION OF UNIFORM GENERAL CONDITIONS FOR SCHOOL DISTRICT BUILDING CONSTRUCTION CONTRACTS.  After reviewing the uniform general conditions adopted by the Texas Facilities Commission under Section 2166.302, Government Code, a school district may adopt uniform general conditions to be incorporated in all district building construction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2166.305(b),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committee appointed by the commission shall perform the review. </w:t>
      </w:r>
      <w:r>
        <w:t xml:space="preserve"> </w:t>
      </w:r>
      <w:r>
        <w:t xml:space="preserve">The committee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director of facilities construction and space management appointed under Section 2152.104, who serves as the presiding officer of the committee;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six individuals appointed by the commission, one each from the lists of nominees submitted respectively by the: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president of the Texas Society of Architects;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president of the Texas Society of Professional Engineers;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presiding officer of the Executive Council of the Texas Associated General Contractors Chapters;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executive secretary of the Mechanical Contractors Associations of Texas, Incorporated;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executive secretary of the Texas Building and Construction Trades Council;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president of the Associated Builders and Contractors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individual appointed by the commission representing an institution of higher education, as defined by Section 61.003,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one individual appointed by the commission representing a state agency that has a substantial ongoing construction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individual appointed by the commission representing the attorney general's office;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individual appointed by the commission representing the interests of historically underutilized businesses;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two individuals appointed by the commission, each representing a different minority contractors association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Boards;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individual appointed by the commission representing the Texas Association of School Administrators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Facilities Commission shall appoint two additional members to the committee in accordance with Section 2166.305(b), Government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