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Campbell, Hall</w:t>
      </w:r>
      <w:r xml:space="preserve">
        <w:tab wTab="150" tlc="none" cTlc="0"/>
      </w:r>
      <w:r>
        <w:t xml:space="preserve">S.B.</w:t>
      </w:r>
      <w:r xml:space="preserve">
        <w:t> </w:t>
      </w:r>
      <w:r>
        <w:t xml:space="preserve">No.</w:t>
      </w:r>
      <w:r xml:space="preserve">
        <w:t> </w:t>
      </w:r>
      <w:r>
        <w:t xml:space="preserve">1303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maps of the actual or proposed boundaries and extraterritorial jurisdiction of a municipality and certain notices related to expanding the boundaries.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 Local Government Code, is amended by amending Subsection (a)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Each municipality shall prepare a map that shows the boundaries of the municipality and of its extraterritorial jurisdiction.  </w:t>
      </w:r>
      <w:r>
        <w:rPr>
          <w:u w:val="single"/>
        </w:rPr>
        <w:t xml:space="preserve">The municipality shall maintain a copy of the map in a location that is easily accessible to the public, including:</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copy of the map shall be kept</w:t>
      </w:r>
      <w:r>
        <w:t xml:space="preserve">] in the office of the secretary or clerk of the municipality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w:t>
      </w:r>
      <w:r>
        <w:rPr>
          <w:strike/>
        </w:rPr>
        <w:t xml:space="preserve">.  If</w:t>
      </w:r>
      <w:r>
        <w:t xml:space="preserve">] the municipality has a municipal engineer, [</w:t>
      </w:r>
      <w:r>
        <w:rPr>
          <w:strike/>
        </w:rPr>
        <w:t xml:space="preserve">a copy of the map shall also be kept</w:t>
      </w:r>
      <w:r>
        <w:t xml:space="preserve">] in the office of the engineer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municipality maintains an Internet website, on the municipality's website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municipality shall make a copy of a map required under Subsection (a) available without charge.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this section, a home-rule municipality shall create, or contract for the creation of, and make publicly available a digital map that complies with this section.  A digital map required under this subsection must be made available without charge and in a format widely used by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home-rule municipality that does not have common geographic information system software shall make the digital map available in any other widely used electronic format in accordance with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43.052, Local Government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addition to the notice provided under Subsection (f), a home-rule municipality, before the 90th day after the date the municipality adopts or amends an annexation plan under this section, shall give written notice as provided by this subsection to each property owner in any area that would be newly included in the municipality's extraterritorial jurisdiction as a result of the proposed annexation.  For purposes of this subsection, a property owner is the owner as indicated by the appraisal records furnished by the appraisal district for each county in which the area that would be newly included in the municipality's extraterritorial jurisdiction is located.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area that has been included in the municipality's annexation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completed annexation of that area will expand the municipality's extraterritorial jurisdiction to include all or part of the property owner's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In addition to the notice requirements under Subsection (f), a home-rule municipality, before the 90th day after the date the municipality adopts or amends an annexation plan under this section,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subsection must be made available without charge and in a format widely used by common geographic information system software or in any other widely used electronic format if the municipality does not have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43.0561, Local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The municipality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post notice of the hearings on the municipality's Internet website if the municipality has an Internet website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publish notice of the hearings in a newspaper of general circulation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municipality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in the area proposed for annexation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municipality is a home-rule municipality, in any area that would be newly included in the municipality's extraterritorial jurisdiction by the expansion of the municipality's extraterritorial jurisdiction resulting from the proposed annexation</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home-rule municipality. </w:t>
      </w:r>
      <w:r>
        <w:rPr>
          <w:u w:val="single"/>
        </w:rPr>
        <w:t xml:space="preserve"> </w:t>
      </w:r>
      <w:r>
        <w:rPr>
          <w:u w:val="single"/>
        </w:rPr>
        <w:t xml:space="preserve">If applicable, the notice for each hearing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completed annexation of the area will expand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area that would be newly included in the municipality's extraterritorial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notice required by Subsection (c), the</w:t>
      </w:r>
      <w:r>
        <w:t xml:space="preserve"> [</w:t>
      </w:r>
      <w:r>
        <w:rPr>
          <w:strike/>
        </w:rPr>
        <w:t xml:space="preserve">The</w:t>
      </w:r>
      <w:r>
        <w:t xml:space="preserve">] municipality must give [</w:t>
      </w:r>
      <w:r>
        <w:rPr>
          <w:strike/>
        </w:rPr>
        <w:t xml:space="preserve">additional</w:t>
      </w:r>
      <w:r>
        <w:t xml:space="preserve">] notice by certified mail to:</w:t>
      </w:r>
    </w:p>
    <w:p w:rsidR="003F3435" w:rsidRDefault="0032493E">
      <w:pPr>
        <w:spacing w:line="480" w:lineRule="auto"/>
        <w:ind w:firstLine="1440"/>
        <w:jc w:val="both"/>
      </w:pPr>
      <w:r>
        <w:t xml:space="preserve">(1)</w:t>
      </w:r>
      <w:r xml:space="preserve">
        <w:t> </w:t>
      </w:r>
      <w:r xml:space="preserve">
        <w:t> </w:t>
      </w:r>
      <w:r>
        <w:t xml:space="preserve">each public entity, as defined by Section 43.053, and utility service provider that provides services in the area proposed for annexation; and</w:t>
      </w:r>
    </w:p>
    <w:p w:rsidR="003F3435" w:rsidRDefault="0032493E">
      <w:pPr>
        <w:spacing w:line="480" w:lineRule="auto"/>
        <w:ind w:firstLine="1440"/>
        <w:jc w:val="both"/>
      </w:pPr>
      <w:r>
        <w:t xml:space="preserve">(2)</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43.063, Local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The municipality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post notice of the hearings on the municipality's Internet website if the municipality has an Internet website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publish notice of the hearings in a newspaper of general circulation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municipality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in the area proposed for annexation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municipality is a home-rule municipality, in any area that would be newly included in the municipality's extraterritorial jurisdiction by the expansion of the municipality's extraterritorial jurisdiction resulting from the proposed annexation</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home-rule municipality. </w:t>
      </w:r>
      <w:r>
        <w:rPr>
          <w:u w:val="single"/>
        </w:rPr>
        <w:t xml:space="preserve"> </w:t>
      </w:r>
      <w:r>
        <w:rPr>
          <w:u w:val="single"/>
        </w:rPr>
        <w:t xml:space="preserve">If applicable, the notice for each hearing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completed annexation of the area will expand the municipality's extraterritorial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area that would be newly included in the municipality's extraterritorial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purpose of extraterritorial jurisdiction designation as provided by Section 42.001;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each municipal ordinance that would be applicable, as authorized by Section 212.003, in the area that would be newly included in the municipality's extraterritorial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notice required by Subsection (c), the</w:t>
      </w:r>
      <w:r>
        <w:t xml:space="preserve"> [</w:t>
      </w:r>
      <w:r>
        <w:rPr>
          <w:strike/>
        </w:rPr>
        <w:t xml:space="preserve">The</w:t>
      </w:r>
      <w:r>
        <w:t xml:space="preserve">] municipality must give [</w:t>
      </w:r>
      <w:r>
        <w:rPr>
          <w:strike/>
        </w:rPr>
        <w:t xml:space="preserve">additional</w:t>
      </w:r>
      <w:r>
        <w:t xml:space="preserve">] notice by certified mail to 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C-1, Chapter 43, Local Government Code, is amended by adding Section 43.0635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43.0635.</w:t>
      </w:r>
      <w:r>
        <w:rPr>
          <w:u w:val="single"/>
        </w:rPr>
        <w:t xml:space="preserve"> </w:t>
      </w:r>
      <w:r>
        <w:rPr>
          <w:u w:val="single"/>
        </w:rPr>
        <w:t xml:space="preserve"> </w:t>
      </w:r>
      <w:r>
        <w:rPr>
          <w:u w:val="single"/>
        </w:rPr>
        <w:t xml:space="preserve">MAP REQUIREMENT FOR PROPOSED ANNEXATION.  In addition to the notice requirements under Section 43.063, a home-rule municipality, before the municipality may institute annexation proceedings,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section must be made available without charge and in a format widely used by common geographic information system software or in any other widely used electronic format if the municipality does not have common geographic information system software. </w:t>
      </w:r>
      <w:r>
        <w:rPr>
          <w:u w:val="single"/>
        </w:rPr>
        <w:t xml:space="preserve"> </w:t>
      </w:r>
      <w:r>
        <w:rPr>
          <w:u w:val="single"/>
        </w:rP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each home-rule municipality shall make publicly available a digital map that complies with Section 41.001(d), Local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change in law made by Section 43.052(f-1), Local Government Code, as added by this Act, applies only to a prospective expansion of extraterritorial jurisdiction resulting from an area proposed for annexation that is included in a municipal annexation plan on or after September 1, 2019.</w:t>
      </w:r>
    </w:p>
    <w:p w:rsidR="003F3435" w:rsidRDefault="0032493E">
      <w:pPr>
        <w:spacing w:line="480" w:lineRule="auto"/>
        <w:ind w:firstLine="720"/>
        <w:jc w:val="both"/>
      </w:pPr>
      <w:r>
        <w:t xml:space="preserve">(b)</w:t>
      </w:r>
      <w:r xml:space="preserve">
        <w:t> </w:t>
      </w:r>
      <w:r xml:space="preserve">
        <w:t> </w:t>
      </w:r>
      <w:r>
        <w:t xml:space="preserve">The change in law made by Section 43.052(f-2), Local Government Code, as added by this Act, applies only to a proposed annexation that is included in a municipal annexation plan on or after September 1, 2019.</w:t>
      </w:r>
    </w:p>
    <w:p w:rsidR="003F3435" w:rsidRDefault="0032493E">
      <w:pPr>
        <w:spacing w:line="480" w:lineRule="auto"/>
        <w:ind w:firstLine="720"/>
        <w:jc w:val="both"/>
      </w:pPr>
      <w:r>
        <w:t xml:space="preserve">(c)</w:t>
      </w:r>
      <w:r xml:space="preserve">
        <w:t> </w:t>
      </w:r>
      <w:r xml:space="preserve">
        <w:t> </w:t>
      </w:r>
      <w:r>
        <w:t xml:space="preserve">The changes in law made by Sections 43.0561 and 43.063, Local Government Code, as amended by this Act, apply only to a hearing notice published on or after September 1, 2019.  A hearing notice published before September 1, 2019, is governed by the law in effect when the hearing notice was published,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 in law made by Section 43.0635, Local Government Code, as added by this Act, applies only to a proposed annexation for which the first hearing notice required by Section 43.063, Local Government Code, as amended by this Act, is published on or after September 1,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