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1304</w:t>
      </w:r>
    </w:p>
    <w:p w:rsidR="003F3435" w:rsidRDefault="0032493E">
      <w:pPr>
        <w:ind w:firstLine="720"/>
        <w:jc w:val="both"/>
      </w:pPr>
      <w:r>
        <w:t xml:space="preserve">(Bell of Montgomery)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of proposed changes to municipal zoning classifications.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211.007, Local Government Code, is amended by adding Subsection (c-3)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A zoning commission must give written notice of a public hearing before the commission on a proposed change in zoning classification to each owner of real property that is wholly or partly located in an unincorporated area of a county if the nearest property line of the property is located not more than two miles from the nearest boundary of the area for which the zoning classification change is proposed. </w:t>
      </w:r>
      <w:r>
        <w:rPr>
          <w:u w:val="single"/>
        </w:rPr>
        <w:t xml:space="preserve"> </w:t>
      </w:r>
      <w:r>
        <w:rPr>
          <w:u w:val="single"/>
        </w:rPr>
        <w:t xml:space="preserve">The commission must provide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10th day before the date of the hearing;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United States mail, addressed to each owner of the property, as indicated on the most recently approved county tax roll.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proposal to change a municipal zoning classification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