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Kolkhorst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1306</w:t>
      </w:r>
    </w:p>
    <w:p w:rsidR="003F3435" w:rsidRDefault="0032493E">
      <w:pPr>
        <w:ind w:firstLine="720"/>
        <w:jc w:val="both"/>
      </w:pPr>
      <w:r>
        <w:t xml:space="preserve">(Burns)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requiring a school district to post on the district's Internet website the contact information of the school administrator primarily responsible for student discipline at a district campus.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26, Education Code, is amended by adding Section 26.015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26.015.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POSTING OF INFORMATION REGARDING ADMINISTRATOR RESPONSIBLE FOR STUDENT DISCIPLINE.  A school district shall post on the district's Internet website, for each district campus, the e-mail address and dedicated telephone number of a person clearly identified as: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campus behavior coordinator designated under Section 37.0012;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district has been designated as a district of innovation under Chapter 12A and is exempt from the requirement to designate a campus behavior coordinator under Section 37.0012 under the district's local innovation plan, a campus administrator designated as being responsible for student discipline.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1306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