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Taylor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1307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28,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Natural Resources &amp; Economic Development;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10, Nays 0;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1307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use of hotel occupancy tax revenue by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351.101, Tax Code, is amended by adding Subsection (q)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(q)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addition to the purposes provided by Subsections (a) and (e), a municipality with a population of more than 10,000 that has a city hall located less than three miles from a space center operated by an agency of the federal government and that is wholly located in a county with a population of four million or more may use revenue from the hotel occupancy tax for the construction, improvement, enlarging, equipping, renovating, repairing, operation, and maintenance of a coliseum or multiuse facility and related infrastructure or a venue, as defined by Section 334.001(4), Local Government Code, that is related to the promotion of tourism, including a hotel, resort, or convention center facility located on land owned by the municipality or a nonprofit corporation acting on behalf of the municipality.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1307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