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Watson</w:t>
      </w:r>
      <w:r xml:space="preserve">
        <w:tab wTab="150" tlc="none" cTlc="0"/>
      </w:r>
      <w:r>
        <w:t xml:space="preserve">S.B.</w:t>
      </w:r>
      <w:r xml:space="preserve">
        <w:t> </w:t>
      </w:r>
      <w:r>
        <w:t xml:space="preserve">No.</w:t>
      </w:r>
      <w:r xml:space="preserve">
        <w:t> </w:t>
      </w:r>
      <w:r>
        <w:t xml:space="preserve">1317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maintained in electronic form by a governmental body. The term includes electronic records and data from database fields.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the governmental body shall provide, in the manner described by this section, an electronic copy of the requested electronic public information using computer software the governmental body has in its possession.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governmental body's computer programs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searchable nor sortable, the governmental body shall provide an electronic copy of the information in a format that complies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may not enter into a contract for the creation or maintenance of electronic public information that impairs the public's ability to inspect or copy the information, including a contract for the creation of a publicly accessible version of information that is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552.228(b) and (c),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public information received by a governmental body on or after the effective date of this Act. </w:t>
      </w:r>
      <w:r>
        <w:t xml:space="preserve"> </w:t>
      </w:r>
      <w:r>
        <w:t xml:space="preserve">A request received before that date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