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86R12411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Birdwell, 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1319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annual report submitted to the comptroller by a county that imposes certain hotel occupancy taxes.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352, Tax Code, is amended by adding Section 352.009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ANNUAL REPORT TO COMPTROLLER.  (a)  Not later than February 20 of each year, a county that imposes the tax authorized by this chapter shall report to the comptroller: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rate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imposed by the county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the tax imposed by the county under Subchapter H, Chapter 334, Local Government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revenue collected during the county's preceding fiscal year from: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imposed by the county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the tax imposed by the county under Subchapter H, Chapter 334, Local Government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must make the report required by this section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submitting the report to the comptroller on a form prescribed by the comptroller;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providing the comptroller a direct link to, or a clear statement describing the location of, the information required to be reported that is posted on the Internet website of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Subsection (b)(2), the comptroller shall prescribe the form a county must use for the report required to be submitted under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may adopt rules necessary to administer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practicable, but not later than January 1, 2020, the comptroller of public accounts shall prescribe the form required by Section 352.009(c), Tax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A county shall submit the initial report or otherwise provide the initial information required by Section 352.009, Tax Code, as added by this Act, not later than February 20,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1319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