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86R5306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students awarded dual credit by a public institution of higher education to complete and submit a financial aid application for higher education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51.9681.</w:t>
      </w:r>
      <w:r>
        <w:rPr>
          <w:u w:val="single"/>
        </w:rPr>
        <w:t xml:space="preserve"> </w:t>
      </w:r>
      <w:r>
        <w:rPr>
          <w:u w:val="single"/>
        </w:rPr>
        <w:t xml:space="preserve"> </w:t>
      </w:r>
      <w:r>
        <w:rPr>
          <w:u w:val="single"/>
        </w:rPr>
        <w:t xml:space="preserve">FINANCIAL AID APPLICATION REQUIRED FOR DUAL CREDIT STUDENTS.  (a)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who earns a cumulative total of 15 or more semester credit hours at an institution of higher education for dual credit coursework successfully completed by the student must complete and submit a free application for federal student aid (FAFSA) or, if applicable, a Texas application for state financial aid (TASFA) not later than six months after the last day of the semester or term in which the student earns that cumulative total.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not required to comply with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institution of higher education shall ensure that each student to whom the institution awards the cumulative total of semester credit hours described by Subsection (b) completes and submits the financial aid application as required by that subsection or submits a signed form to the institution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institution of higher education shall adopt a form to be used for purposes of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