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1324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filing of a degree plan by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 Education Code, is amended by adding Subsection (c-2) and amending Subsection (g)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course for joint high school and junior college credit under Section 130.008 at a public junior college and to whom Subsection (b) or (c-1) does not apply shall file a degree plan with the college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college with 15 or more semester credit hours of course credit for dual credit courses successfully completed by the student, the end of the student's second regular semester or term at the college.</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requiring institutions of higher education to report to the board information regarding the filing of degree plans as required by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w:t>
      </w:r>
      <w:r>
        <w:rPr>
          <w:strike/>
        </w:rPr>
        <w:t xml:space="preserve">, the student</w:t>
      </w:r>
      <w:r>
        <w:t xml:space="preserve">] must meet with an academic advisor to complete a degree plan[</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