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86R9448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duties of the Department of Family and Protective Services to provide training regarding trauma-informed programs and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264.015,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of the department shall adopt rules necessary to implement this section, including definitions of "trauma" and "trauma-informed care,"</w:t>
      </w:r>
      <w:r>
        <w:rPr>
          <w:u w:val="single"/>
        </w:rPr>
        <w:t xml:space="preserve"> </w:t>
      </w:r>
      <w:r>
        <w:rPr>
          <w:u w:val="single"/>
        </w:rPr>
        <w:t xml:space="preserve">using a negotiated rulemaking process under Chapter 2008,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commissioner of the Department of Family and Protective Services shall adopt rules in accordance with Section 264.015(d), Family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