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86R2700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for filing an annual financial statement by a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annual financial statement, including the auditor's opinion on the statement, shall be filed in the office of the municipal secretary or clerk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municipality with a population of less than 1.75 million,</w:t>
      </w:r>
      <w:r>
        <w:t xml:space="preserve"> within </w:t>
      </w:r>
      <w:r>
        <w:rPr>
          <w:u w:val="single"/>
        </w:rPr>
        <w:t xml:space="preserve">120</w:t>
      </w:r>
      <w:r>
        <w:t xml:space="preserve"> [</w:t>
      </w:r>
      <w:r>
        <w:rPr>
          <w:strike/>
        </w:rPr>
        <w:t xml:space="preserve">180</w:t>
      </w:r>
      <w:r>
        <w:t xml:space="preserve">] days after the last day of the municipality's fiscal year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municipality with a population of 1.75 million or more, within 90 days after the last day of the municipality's fiscal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to Section 103.003, Local Government Code, applies only to the filing of a financial statement for a fiscal year ending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