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Subsections (b), (c), and (d)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Facilities Commission under Section 31.158, Natural Resources Code.</w:t>
      </w:r>
    </w:p>
    <w:p w:rsidR="003F3435" w:rsidRDefault="0032493E">
      <w:pPr>
        <w:spacing w:line="480" w:lineRule="auto"/>
        <w:ind w:firstLine="720"/>
        <w:jc w:val="both"/>
      </w:pPr>
      <w:r>
        <w:t xml:space="preserve">(d)</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 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 56' 34" E 277.20 feet to an "X" found cut in concrete for the northeast corner hereof;</w:t>
      </w:r>
    </w:p>
    <w:p w:rsidR="003F3435" w:rsidRDefault="0032493E">
      <w:pPr>
        <w:spacing w:line="480" w:lineRule="auto"/>
        <w:ind w:firstLine="720"/>
        <w:jc w:val="both"/>
      </w:pPr>
      <w:r>
        <w:t xml:space="preserve">THENCE with the west r.o.w. line of Lavaca Street, S 18° 58' 53" 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 57' 34" W 277.42 feet to a concrete nail set in concrete for the southwest corner hereof;</w:t>
      </w:r>
    </w:p>
    <w:p w:rsidR="003F3435" w:rsidRDefault="0032493E">
      <w:pPr>
        <w:spacing w:line="480" w:lineRule="auto"/>
        <w:ind w:firstLine="720"/>
        <w:jc w:val="both"/>
      </w:pPr>
      <w:r>
        <w:t xml:space="preserve">THENCE with the east r.o.w. line of Guadalupe Street, N 19° 01' 37" E 276.56 feet to the PLACE OF BEGINNING and containing 1.76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Said agreement having been modified by instrument recorded in Volume 8304, Page 865, Real Property Records of Travis County, Texas.  Said agreement having been transferred by instrument recorded in Volume 8632, Page 946, Real Property Records of Travis County, Texas.  (Tract One)</w:t>
      </w:r>
    </w:p>
    <w:p w:rsidR="003F3435" w:rsidRDefault="0032493E">
      <w:pPr>
        <w:spacing w:line="480" w:lineRule="auto"/>
        <w:ind w:firstLine="720"/>
        <w:jc w:val="both"/>
      </w:pPr>
      <w:r>
        <w:t xml:space="preserve">3.</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4.</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