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86R2197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1354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employment and referral services for veterans and military service members.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302, Labor Code, is amended by adding Sections 302.0033 and 302.00335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302.0033.</w:t>
      </w:r>
      <w:r>
        <w:rPr>
          <w:u w:val="single"/>
        </w:rPr>
        <w:t xml:space="preserve"> </w:t>
      </w:r>
      <w:r>
        <w:rPr>
          <w:u w:val="single"/>
        </w:rPr>
        <w:t xml:space="preserve"> </w:t>
      </w:r>
      <w:r>
        <w:rPr>
          <w:u w:val="single"/>
        </w:rPr>
        <w:t xml:space="preserve">OPERATION WELCOME HOME PROGRAM. </w:t>
      </w:r>
      <w:r>
        <w:rPr>
          <w:u w:val="single"/>
        </w:rPr>
        <w:t xml:space="preserve"> </w:t>
      </w:r>
      <w:r>
        <w:rPr>
          <w:u w:val="single"/>
        </w:rPr>
        <w:t xml:space="preserve">(a) </w:t>
      </w:r>
      <w:r>
        <w:rPr>
          <w:u w:val="single"/>
        </w:rPr>
        <w:t xml:space="preserve"> </w:t>
      </w:r>
      <w:r>
        <w:rPr>
          <w:u w:val="single"/>
        </w:rPr>
        <w:t xml:space="preserve">The commission shall establish and administer the Operation Welcome Home program to expedite the entry of veterans and military service members into the workforce through the use of enhanced employment services. </w:t>
      </w:r>
      <w:r>
        <w:rPr>
          <w:u w:val="single"/>
        </w:rPr>
        <w:t xml:space="preserve"> </w:t>
      </w:r>
      <w:r>
        <w:rPr>
          <w:u w:val="single"/>
        </w:rPr>
        <w:t xml:space="preserve">In establishing the program, the commission shall build partnerships between military transition centers and local workforce development boards to ensure the availability of employment services, including services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career technical training;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entrepreneurship.</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award grants to state, local, or private entities that perform activities related to the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administer the program using money previously appropriated to the commission or received from federal or other sources.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adopt rules as necessary for the administration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302.00335.</w:t>
      </w:r>
      <w:r>
        <w:rPr>
          <w:u w:val="single"/>
        </w:rPr>
        <w:t xml:space="preserve"> </w:t>
      </w:r>
      <w:r>
        <w:rPr>
          <w:u w:val="single"/>
        </w:rPr>
        <w:t xml:space="preserve"> </w:t>
      </w:r>
      <w:r>
        <w:rPr>
          <w:u w:val="single"/>
        </w:rPr>
        <w:t xml:space="preserve">TEXAS VETERANS LEADERSHIP PROGRAM.  (a)  The commission, in consultation with the Texas Veterans Commission, shall establish a Texas Veterans Leadership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mission of the program is to serve as a resource and referral network connecting veterans with the resources and tools they need to lead productive lives and enjoy the full benefits of the society they have willingly served.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program shall collaborate with local workforce development boards to provide services to veterans under this section.  The program may collaborate with other federal, state, county, municipal, and private agencies to provide services to veterans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program shall employ veterans to serve as veteran resource and referral specialists.  A veteran resource and referral specialist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out veterans in need of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 as a resource and referral agent, directing veterans to resources tailored to veterans' needs;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referrals and coordinate with other programs of the commission, the Texas Veterans Commission, and other federal, state, county, municipal, and private agencies that provide services for veterans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education and training;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medical care;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mental health and counseling;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veterans benefits;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coordinate the services of volunteer veterans familiar with the obstacles faced by veterans to assist in mentoring and serving veterans.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