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86R10626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work-based learning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133, Education Code, is amended by adding Section 133.010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133.010.</w:t>
      </w:r>
      <w:r>
        <w:rPr>
          <w:u w:val="single"/>
        </w:rPr>
        <w:t xml:space="preserve"> </w:t>
      </w:r>
      <w:r>
        <w:rPr>
          <w:u w:val="single"/>
        </w:rPr>
        <w:t xml:space="preserve"> </w:t>
      </w:r>
      <w:r>
        <w:rPr>
          <w:u w:val="single"/>
        </w:rPr>
        <w:t xml:space="preserve">WORK-BASED LEARNING TASK FORCE.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"Open-enrollment charter school" has the meaning assigned by Section 5.001.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"Task force" means the work-based learning task force established under this section.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"Work-based learning opportunity" includes a youth or adult apprenticeship or internship that provides paid work experience and corresponding classroom instruction, delivered in an employment relationship that both the business and worker intend to lead to an industry-recognized credential and full-time employment after completion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work-based learning task force is established to develop strategies for expanding and improving the delivery of work-based learning opportunities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18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commission, appointed by the executive director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coordinating board, appointed by the commissioner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agency, appointed by the commissioner of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five members appointed by the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five members appointed by the lieutenant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five members appointed by the speaker of the house of representatives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task force shall select a presiding officer from among the membership.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task force serves at the will of the member's appointing authority. A vacancy on the task force must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member of the task force may not receive compensation for serving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the coordinating board, and the agency shall each provide necessary administrative and technical support for the activities of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may solicit gifts, grants, and donations from any public or private source for use in carrying out the task force's duties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the number of work-based learning opportunities in this state and the availability of those opportunities, including for persons experiencing barriers to employment and who are historically underrepresented in high-growth, high-wage industries, with a particular focus on occupations other than building and construction trades;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removing barriers that impede the growth of work-based learning opportunities in this state, including in small and mid-size companies and in industries that have not historically offered work-based learning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addressing employer concerns regarding liability for work-based learning opportunities;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improving a diverse pipeline of access to and success in work-based learning opportunities, including assistance with child care, food, and transportation;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aligning public and private funding for work-based learning opportunities;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identifying data to be collected from work-based learning opportunity providers;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establishing a process for the collection and maintenance of data described by Paragraph (F) and for the reporting of that data to policymakers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critical guidance for local sector or industry partnerships on how to serve as intermediaries facilitating work-based learning opportunities, including guidance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marketing work-based learning opportunities to community stakeholders;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business in establishing work-based learning opportunities;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or brokering education and training for individuals experiencing barriers to 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any resources that are needed, and any current resources that could be redirected, to expand work-based learning opportunities in this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carrying out its duties under this section, the task force shall consult with stakeholders, including young adults participating in work-based learning opportunities.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 later than December 1, 2020, the task force shall submit a written report to the legislature, the commission, the coordinating board, and the agency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task force's findings;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stakeholder input received by the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legislative or other action and proposed legislation;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regarding the feasibility of the task force's recommendations.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task force is abolished and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appropriate persons shall appoint the members of the task force created by Section 133.010,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