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1358</w:t>
      </w:r>
    </w:p>
    <w:p w:rsidR="003F3435" w:rsidRDefault="0032493E">
      <w:pPr>
        <w:ind w:firstLine="720"/>
        <w:jc w:val="both"/>
      </w:pPr>
      <w:r>
        <w:t xml:space="preserve">(Parker)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imposing certain administrative penalties or disgorgement orders by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15.024, Utilities Code, is amended by amending Subsections (b), (e), and (f) and adding Subsection (b-1) to read as follows:</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report to the person against whom the penalty may be assessed.  The notice may be given by </w:t>
      </w:r>
      <w:r>
        <w:rPr>
          <w:u w:val="single"/>
        </w:rPr>
        <w:t xml:space="preserve">regular or</w:t>
      </w:r>
      <w:r>
        <w:t xml:space="preserve"> certified mail.  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commission sends written notice to a person by mail addressed to the person's mailing address as maintained in the commission's records, the person is deemed to have received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fifth day after the date that the commission sent the written notice, for notice sent by regular mail;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date the written notice is received or delivery is refused, for notice sent by certified mail.</w:t>
      </w:r>
    </w:p>
    <w:p w:rsidR="003F3435" w:rsidRDefault="0032493E">
      <w:pPr>
        <w:spacing w:line="480" w:lineRule="auto"/>
        <w:ind w:firstLine="720"/>
        <w:jc w:val="both"/>
      </w:pPr>
      <w:r>
        <w:t xml:space="preserve">(e)</w:t>
      </w:r>
      <w:r xml:space="preserve">
        <w:t> </w:t>
      </w:r>
      <w:r xml:space="preserve">
        <w:t> </w:t>
      </w:r>
      <w:r>
        <w:t xml:space="preserve">If the person accepts the executive director's determination and recommended penalty </w:t>
      </w:r>
      <w:r>
        <w:rPr>
          <w:u w:val="single"/>
        </w:rPr>
        <w:t xml:space="preserve">or fails to timely respond to the notice</w:t>
      </w:r>
      <w:r>
        <w:t xml:space="preserve">, the commission by order shall approve the determination and impose the recommended penalty</w:t>
      </w:r>
      <w:r>
        <w:t xml:space="preserve"> </w:t>
      </w:r>
      <w:r>
        <w:rPr>
          <w:u w:val="single"/>
        </w:rPr>
        <w:t xml:space="preserve">or order a hearing on the determination and the recommended penalty</w:t>
      </w:r>
      <w:r>
        <w:t xml:space="preserve">.</w:t>
      </w:r>
    </w:p>
    <w:p w:rsidR="003F3435" w:rsidRDefault="0032493E">
      <w:pPr>
        <w:spacing w:line="480" w:lineRule="auto"/>
        <w:ind w:firstLine="720"/>
        <w:jc w:val="both"/>
      </w:pPr>
      <w:r>
        <w:t xml:space="preserve">(f)</w:t>
      </w:r>
      <w:r xml:space="preserve">
        <w:t> </w:t>
      </w:r>
      <w:r xml:space="preserve">
        <w:t> </w:t>
      </w:r>
      <w:r>
        <w:t xml:space="preserve">If the person requests a hearing or </w:t>
      </w:r>
      <w:r>
        <w:rPr>
          <w:u w:val="single"/>
        </w:rPr>
        <w:t xml:space="preserve">the commission orders a hearing under Subsection (e)</w:t>
      </w:r>
      <w:r>
        <w:t xml:space="preserve"> [</w:t>
      </w:r>
      <w:r>
        <w:rPr>
          <w:strike/>
        </w:rPr>
        <w:t xml:space="preserve">fails to timely respond to the notice</w:t>
      </w:r>
      <w:r>
        <w:t xml:space="preserve">], the </w:t>
      </w:r>
      <w:r>
        <w:rPr>
          <w:u w:val="single"/>
        </w:rPr>
        <w:t xml:space="preserve">commission</w:t>
      </w:r>
      <w:r>
        <w:t xml:space="preserve"> [</w:t>
      </w:r>
      <w:r>
        <w:rPr>
          <w:strike/>
        </w:rPr>
        <w:t xml:space="preserve">executive director</w:t>
      </w:r>
      <w:r>
        <w:t xml:space="preserve">] shall </w:t>
      </w:r>
      <w:r>
        <w:rPr>
          <w:u w:val="single"/>
        </w:rPr>
        <w:t xml:space="preserve">refer the matter to the State Office of Administrative Hearings for</w:t>
      </w:r>
      <w:r>
        <w:t xml:space="preserve"> [</w:t>
      </w:r>
      <w:r>
        <w:rPr>
          <w:strike/>
        </w:rPr>
        <w:t xml:space="preserve">set</w:t>
      </w:r>
      <w:r>
        <w:t xml:space="preserve">] a hearing and give notice of the </w:t>
      </w:r>
      <w:r>
        <w:rPr>
          <w:u w:val="single"/>
        </w:rPr>
        <w:t xml:space="preserve">referral</w:t>
      </w:r>
      <w:r>
        <w:t xml:space="preserve"> [</w:t>
      </w:r>
      <w:r>
        <w:rPr>
          <w:strike/>
        </w:rPr>
        <w:t xml:space="preserve">hearing</w:t>
      </w:r>
      <w:r>
        <w:t xml:space="preserve">] to the person. </w:t>
      </w:r>
      <w:r>
        <w:t xml:space="preserve"> </w:t>
      </w:r>
      <w:r>
        <w:t xml:space="preserve">The parties to a proceeding under this subchapter shall be limited to the person and the commission, including the independent market monitor. </w:t>
      </w:r>
      <w:r>
        <w:t xml:space="preserve"> </w:t>
      </w:r>
      <w:r>
        <w:t xml:space="preserve">The hearing shall be held by an administrative law judge of the State Office of Administrative Hearings </w:t>
      </w:r>
      <w:r>
        <w:rPr>
          <w:u w:val="single"/>
        </w:rPr>
        <w:t xml:space="preserve">and notice of the hearing must be provided in accordance with Chapter 2001, Government Code</w:t>
      </w:r>
      <w:r>
        <w:t xml:space="preserve">. </w:t>
      </w:r>
      <w:r>
        <w:t xml:space="preserve"> </w:t>
      </w:r>
      <w:r>
        <w:t xml:space="preserve">The administrative law judge shall make findings of fact and conclusions of law and promptly issue to the commission a proposal for a decision about the occurrence of the violation and the amount of a proposed penalty. </w:t>
      </w:r>
      <w:r>
        <w:t xml:space="preserve"> </w:t>
      </w:r>
      <w:r>
        <w:t xml:space="preserve">Based on the findings of fact, conclusions of law, and proposal for a decision, the commission by order may find that a violation has occurred and impose a penalty or disgorgement order or may find that no violation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procedures for an administrative penalty or disgorgement order for which a written notice is given under Section 15.024(b), Utilities Code, on or after the effective date of this Act. </w:t>
      </w:r>
      <w:r>
        <w:t xml:space="preserve"> </w:t>
      </w:r>
      <w:r>
        <w:t xml:space="preserve">Those procedures for a penalty or order for which a written notice is given before the effective date of this Act are governed by the law in effect on the date the notice is given,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