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86R1466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administrative support services functions for the Health and Human Services Commission's office of inspector general.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531.102(a-3),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(a-3)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Section 531.00553, the office</w:t>
      </w:r>
      <w:r>
        <w:t xml:space="preserve"> [</w:t>
      </w:r>
      <w:r>
        <w:rPr>
          <w:strike/>
        </w:rPr>
        <w:t xml:space="preserve">The executive commissioner</w:t>
      </w:r>
      <w:r>
        <w:t xml:space="preserve">] is responsible for performing all administrative support services functions necessary to operate the office [</w:t>
      </w:r>
      <w:r>
        <w:rPr>
          <w:strike/>
        </w:rPr>
        <w:t xml:space="preserve">in the same manner that the executive commissioner is responsible for providing administrative support services functions for the health and human services system</w:t>
      </w:r>
      <w:r>
        <w:t xml:space="preserve">], including functions of the office related to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procurement processes;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contracting policies;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information technology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subject to Subsection (a-8),</w:t>
      </w:r>
      <w:r>
        <w:t xml:space="preserve">] legal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budgeting;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personnel and employment policies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hiring and dismissal of administrative staff, including information technology staff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531.102(a-8),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