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1367</w:t>
      </w:r>
    </w:p>
    <w:p w:rsidR="003F3435" w:rsidRDefault="0032493E">
      <w:pPr>
        <w:ind w:firstLine="720"/>
        <w:jc w:val="both"/>
      </w:pPr>
      <w:r>
        <w:t xml:space="preserve">(Lambert,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project funds of municipal development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377.072(c),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Subsections (d) and (e), the district may use money in the development project fund only to:</w:t>
      </w:r>
    </w:p>
    <w:p w:rsidR="003F3435" w:rsidRDefault="0032493E">
      <w:pPr>
        <w:spacing w:line="480" w:lineRule="auto"/>
        <w:ind w:firstLine="1440"/>
        <w:jc w:val="both"/>
      </w:pPr>
      <w:r>
        <w:t xml:space="preserve">(1)</w:t>
      </w:r>
      <w:r xml:space="preserve">
        <w:t> </w:t>
      </w:r>
      <w:r xml:space="preserve">
        <w:t> </w:t>
      </w:r>
      <w:r>
        <w:t xml:space="preserve">pay the costs of planning, acquiring, establishing, developing, constructing, or renovating one or more development projects </w:t>
      </w:r>
      <w:r>
        <w:rPr>
          <w:u w:val="single"/>
        </w:rPr>
        <w:t xml:space="preserve">located:</w:t>
      </w:r>
    </w:p>
    <w:p w:rsidR="003F3435" w:rsidRDefault="0032493E">
      <w:pPr>
        <w:spacing w:line="480" w:lineRule="auto"/>
        <w:ind w:firstLine="2160"/>
        <w:jc w:val="both"/>
      </w:pPr>
      <w:r>
        <w:rPr>
          <w:u w:val="single"/>
        </w:rPr>
        <w:t xml:space="preserve">(A)</w:t>
      </w:r>
      <w:r xml:space="preserve">
        <w:t> </w:t>
      </w:r>
      <w:r xml:space="preserve">
        <w:t> </w:t>
      </w:r>
      <w:r>
        <w:t xml:space="preserve">in the district;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outside the district,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board determines that the development project will provide an economic benefit to the district;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following entities, as applicable, by resolution approve the development project: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municipality that created the district;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each municipality in whose corporate limits or extraterritorial jurisdiction the project is located;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commissioners court of the county in which the project is located, if the project is not located in the corporate limits or extraterritorial jurisdiction of a municipality;</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development projects during the planning, acquisition, establishment, development, construction, or renovation or while bonds or other obligations for the planning, acquisition, establishment, development, construction, or renovation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